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51B1" w14:textId="77777777" w:rsidR="001A4317" w:rsidRPr="001A4317" w:rsidRDefault="001A4317" w:rsidP="001A4317">
      <w:pPr>
        <w:spacing w:after="218"/>
        <w:rPr>
          <w:rFonts w:ascii="Arial" w:eastAsia="Calibri" w:hAnsi="Arial" w:cs="Arial"/>
          <w:sz w:val="22"/>
          <w:szCs w:val="22"/>
          <w:lang w:eastAsia="en-GB"/>
        </w:rPr>
      </w:pPr>
    </w:p>
    <w:p w14:paraId="034DC966" w14:textId="77777777" w:rsidR="001A4317" w:rsidRPr="001A4317" w:rsidRDefault="001A4317" w:rsidP="001A4317">
      <w:pPr>
        <w:keepNext/>
        <w:keepLines/>
        <w:spacing w:after="211" w:line="271" w:lineRule="auto"/>
        <w:ind w:left="10" w:hanging="10"/>
        <w:outlineLvl w:val="1"/>
        <w:rPr>
          <w:rFonts w:ascii="Arial" w:eastAsia="Arial" w:hAnsi="Arial" w:cs="Arial"/>
          <w:b/>
          <w:color w:val="5F5F5F"/>
          <w:sz w:val="36"/>
          <w:szCs w:val="22"/>
          <w:lang w:eastAsia="en-GB"/>
        </w:rPr>
      </w:pPr>
      <w:bookmarkStart w:id="0" w:name="_Toc5957125"/>
      <w:bookmarkStart w:id="1" w:name="_Toc6231398"/>
      <w:r w:rsidRPr="001A4317">
        <w:rPr>
          <w:rFonts w:ascii="Arial" w:eastAsia="Arial" w:hAnsi="Arial" w:cs="Arial"/>
          <w:b/>
          <w:color w:val="5F5F5F"/>
          <w:sz w:val="36"/>
          <w:szCs w:val="22"/>
          <w:lang w:eastAsia="en-GB"/>
        </w:rPr>
        <w:t>APPENDIX C3: Assessment for authors</w:t>
      </w:r>
      <w:bookmarkEnd w:id="0"/>
      <w:bookmarkEnd w:id="1"/>
      <w:r w:rsidRPr="001A4317">
        <w:rPr>
          <w:rFonts w:ascii="Arial" w:eastAsia="Arial" w:hAnsi="Arial" w:cs="Arial"/>
          <w:b/>
          <w:color w:val="5F5F5F"/>
          <w:sz w:val="36"/>
          <w:szCs w:val="22"/>
          <w:lang w:eastAsia="en-GB"/>
        </w:rPr>
        <w:t xml:space="preserve"> </w:t>
      </w:r>
    </w:p>
    <w:p w14:paraId="5A33F637" w14:textId="77777777" w:rsidR="001A4317" w:rsidRPr="001A4317" w:rsidRDefault="001A4317" w:rsidP="001A4317">
      <w:pPr>
        <w:keepNext/>
        <w:keepLines/>
        <w:spacing w:before="40" w:after="0"/>
        <w:outlineLvl w:val="1"/>
        <w:rPr>
          <w:rFonts w:ascii="Arial" w:eastAsia="Arial" w:hAnsi="Arial" w:cs="Arial"/>
          <w:color w:val="2F5496" w:themeColor="accent1" w:themeShade="BF"/>
          <w:sz w:val="26"/>
          <w:szCs w:val="26"/>
          <w:lang w:eastAsia="en-GB"/>
        </w:rPr>
      </w:pPr>
      <w:bookmarkStart w:id="2" w:name="_Toc5957126"/>
      <w:bookmarkStart w:id="3" w:name="_Toc6231399"/>
      <w:r w:rsidRPr="001A4317">
        <w:rPr>
          <w:rFonts w:ascii="Arial" w:eastAsiaTheme="majorEastAsia" w:hAnsi="Arial" w:cs="Arial"/>
          <w:color w:val="2F5496" w:themeColor="accent1" w:themeShade="BF"/>
          <w:sz w:val="26"/>
          <w:szCs w:val="26"/>
        </w:rPr>
        <w:t>Introduction</w:t>
      </w:r>
      <w:bookmarkEnd w:id="2"/>
      <w:bookmarkEnd w:id="3"/>
      <w:r w:rsidRPr="001A4317">
        <w:rPr>
          <w:rFonts w:ascii="Arial" w:eastAsia="Arial" w:hAnsi="Arial" w:cs="Arial"/>
          <w:color w:val="2F5496" w:themeColor="accent1" w:themeShade="BF"/>
          <w:sz w:val="26"/>
          <w:szCs w:val="26"/>
          <w:lang w:eastAsia="en-GB"/>
        </w:rPr>
        <w:t xml:space="preserve"> </w:t>
      </w:r>
    </w:p>
    <w:p w14:paraId="1679839D" w14:textId="7B9C947D" w:rsidR="001A4317" w:rsidRPr="001A4317" w:rsidRDefault="001A4317" w:rsidP="001A4317">
      <w:pPr>
        <w:spacing w:after="246"/>
        <w:rPr>
          <w:rFonts w:ascii="Arial" w:eastAsia="Arial" w:hAnsi="Arial" w:cs="Arial"/>
          <w:lang w:eastAsia="en-GB"/>
        </w:rPr>
      </w:pPr>
      <w:r w:rsidRPr="001A4317">
        <w:rPr>
          <w:rFonts w:ascii="Arial" w:eastAsia="Arial" w:hAnsi="Arial" w:cs="Arial"/>
          <w:lang w:eastAsia="en-GB"/>
        </w:rPr>
        <w:t>This appendix seeks to provide further examples of possible questions which are there to help authors to prepare for their online courses. These are to be used in conjunction with three short documents:</w:t>
      </w:r>
    </w:p>
    <w:p w14:paraId="4EBACA2B" w14:textId="77777777" w:rsidR="001A4317" w:rsidRPr="001A4317" w:rsidRDefault="001A4317" w:rsidP="001A4317">
      <w:pPr>
        <w:numPr>
          <w:ilvl w:val="0"/>
          <w:numId w:val="3"/>
        </w:numPr>
        <w:spacing w:after="246"/>
        <w:contextualSpacing/>
        <w:rPr>
          <w:rFonts w:ascii="Arial" w:eastAsia="Arial" w:hAnsi="Arial" w:cs="Arial"/>
          <w:lang w:eastAsia="en-GB"/>
        </w:rPr>
      </w:pPr>
      <w:r w:rsidRPr="001A4317">
        <w:rPr>
          <w:rFonts w:ascii="Arial" w:eastAsia="Arial" w:hAnsi="Arial" w:cs="Arial"/>
          <w:lang w:eastAsia="en-GB"/>
        </w:rPr>
        <w:t>A downloadable template, on which to model your answers</w:t>
      </w:r>
    </w:p>
    <w:p w14:paraId="6EEAACEF" w14:textId="77777777" w:rsidR="001A4317" w:rsidRPr="001A4317" w:rsidRDefault="001A4317" w:rsidP="001A4317">
      <w:pPr>
        <w:numPr>
          <w:ilvl w:val="0"/>
          <w:numId w:val="3"/>
        </w:numPr>
        <w:spacing w:after="246"/>
        <w:contextualSpacing/>
        <w:rPr>
          <w:rFonts w:ascii="Arial" w:eastAsia="Arial" w:hAnsi="Arial" w:cs="Arial"/>
          <w:lang w:eastAsia="en-GB"/>
        </w:rPr>
      </w:pPr>
      <w:r w:rsidRPr="001A4317">
        <w:rPr>
          <w:rFonts w:ascii="Arial" w:eastAsia="Arial" w:hAnsi="Arial" w:cs="Arial"/>
          <w:lang w:eastAsia="en-GB"/>
        </w:rPr>
        <w:t xml:space="preserve">one page checklist for assessment questions </w:t>
      </w:r>
    </w:p>
    <w:p w14:paraId="3BF93A72" w14:textId="77777777" w:rsidR="001A4317" w:rsidRPr="001A4317" w:rsidRDefault="001A4317" w:rsidP="001A4317">
      <w:pPr>
        <w:numPr>
          <w:ilvl w:val="0"/>
          <w:numId w:val="3"/>
        </w:numPr>
        <w:spacing w:after="246"/>
        <w:contextualSpacing/>
        <w:rPr>
          <w:rFonts w:ascii="Arial" w:eastAsia="Arial" w:hAnsi="Arial" w:cs="Arial"/>
          <w:lang w:eastAsia="en-GB"/>
        </w:rPr>
      </w:pPr>
      <w:r w:rsidRPr="001A4317">
        <w:rPr>
          <w:rFonts w:ascii="Arial" w:eastAsia="Arial" w:hAnsi="Arial" w:cs="Arial"/>
          <w:lang w:eastAsia="en-GB"/>
        </w:rPr>
        <w:t xml:space="preserve">one page checklist for academic writing in general.  </w:t>
      </w:r>
    </w:p>
    <w:p w14:paraId="6343F75C" w14:textId="77777777" w:rsidR="001A4317" w:rsidRPr="001A4317" w:rsidRDefault="001A4317" w:rsidP="001A4317">
      <w:pPr>
        <w:spacing w:after="246"/>
        <w:rPr>
          <w:rFonts w:ascii="Arial" w:eastAsia="Arial" w:hAnsi="Arial" w:cs="Arial"/>
          <w:lang w:eastAsia="en-GB"/>
        </w:rPr>
      </w:pPr>
      <w:r w:rsidRPr="001A4317">
        <w:rPr>
          <w:rFonts w:ascii="Arial" w:eastAsia="Arial" w:hAnsi="Arial" w:cs="Arial"/>
          <w:lang w:eastAsia="en-GB"/>
        </w:rPr>
        <w:t xml:space="preserve">These are provided in the general section of your teams area for your online course.  </w:t>
      </w:r>
    </w:p>
    <w:p w14:paraId="41757D5B" w14:textId="77777777" w:rsidR="001A4317" w:rsidRPr="001A4317" w:rsidRDefault="001A4317" w:rsidP="001A4317">
      <w:pPr>
        <w:spacing w:after="246"/>
        <w:rPr>
          <w:rFonts w:ascii="Arial" w:eastAsia="Arial" w:hAnsi="Arial" w:cs="Arial"/>
          <w:lang w:eastAsia="en-GB"/>
        </w:rPr>
      </w:pPr>
      <w:r w:rsidRPr="001A4317">
        <w:rPr>
          <w:rFonts w:ascii="Arial" w:eastAsia="Arial" w:hAnsi="Arial" w:cs="Arial"/>
          <w:lang w:eastAsia="en-GB"/>
        </w:rPr>
        <w:t xml:space="preserve">You will also find up to date information about the role of authors and the timeline for development.  </w:t>
      </w:r>
    </w:p>
    <w:p w14:paraId="5057ECA1" w14:textId="77777777" w:rsidR="001A4317" w:rsidRPr="001A4317" w:rsidRDefault="001A4317" w:rsidP="001A4317">
      <w:pPr>
        <w:spacing w:after="246"/>
        <w:rPr>
          <w:rFonts w:ascii="Arial" w:eastAsia="Arial" w:hAnsi="Arial" w:cs="Arial"/>
          <w:b/>
          <w:lang w:eastAsia="en-GB"/>
        </w:rPr>
      </w:pPr>
      <w:r w:rsidRPr="001A4317">
        <w:rPr>
          <w:rFonts w:ascii="Arial" w:eastAsia="Arial" w:hAnsi="Arial" w:cs="Arial"/>
          <w:b/>
          <w:lang w:eastAsia="en-GB"/>
        </w:rPr>
        <w:br w:type="page"/>
      </w:r>
    </w:p>
    <w:p w14:paraId="581DBCC5" w14:textId="77777777" w:rsidR="001A4317" w:rsidRPr="001A4317" w:rsidRDefault="001A4317" w:rsidP="001A4317">
      <w:pPr>
        <w:keepNext/>
        <w:keepLines/>
        <w:spacing w:before="40" w:after="0"/>
        <w:outlineLvl w:val="1"/>
        <w:rPr>
          <w:rFonts w:ascii="Arial" w:eastAsia="Arial" w:hAnsi="Arial" w:cs="Arial"/>
          <w:color w:val="2F5496" w:themeColor="accent1" w:themeShade="BF"/>
          <w:sz w:val="26"/>
          <w:szCs w:val="26"/>
          <w:lang w:eastAsia="en-GB"/>
        </w:rPr>
      </w:pPr>
      <w:bookmarkStart w:id="4" w:name="_Toc5957127"/>
      <w:bookmarkStart w:id="5" w:name="_Toc6231400"/>
      <w:r w:rsidRPr="001A4317">
        <w:rPr>
          <w:rFonts w:ascii="Arial" w:eastAsia="Arial" w:hAnsi="Arial" w:cs="Arial"/>
          <w:color w:val="2F5496" w:themeColor="accent1" w:themeShade="BF"/>
          <w:sz w:val="26"/>
          <w:szCs w:val="26"/>
          <w:lang w:eastAsia="en-GB"/>
        </w:rPr>
        <w:lastRenderedPageBreak/>
        <w:t xml:space="preserve">Examples of </w:t>
      </w:r>
      <w:r w:rsidRPr="001A4317">
        <w:rPr>
          <w:rFonts w:ascii="Arial" w:eastAsiaTheme="majorEastAsia" w:hAnsi="Arial" w:cs="Arial"/>
          <w:color w:val="2F5496" w:themeColor="accent1" w:themeShade="BF"/>
          <w:sz w:val="26"/>
          <w:szCs w:val="26"/>
        </w:rPr>
        <w:t>question</w:t>
      </w:r>
      <w:r w:rsidRPr="001A4317">
        <w:rPr>
          <w:rFonts w:ascii="Arial" w:eastAsia="Arial" w:hAnsi="Arial" w:cs="Arial"/>
          <w:color w:val="2F5496" w:themeColor="accent1" w:themeShade="BF"/>
          <w:sz w:val="26"/>
          <w:szCs w:val="26"/>
          <w:lang w:eastAsia="en-GB"/>
        </w:rPr>
        <w:t xml:space="preserve"> types</w:t>
      </w:r>
      <w:bookmarkEnd w:id="4"/>
      <w:bookmarkEnd w:id="5"/>
      <w:r w:rsidRPr="001A4317">
        <w:rPr>
          <w:rFonts w:ascii="Arial" w:eastAsia="Arial" w:hAnsi="Arial" w:cs="Arial"/>
          <w:color w:val="2F5496" w:themeColor="accent1" w:themeShade="BF"/>
          <w:sz w:val="26"/>
          <w:szCs w:val="26"/>
          <w:lang w:eastAsia="en-GB"/>
        </w:rPr>
        <w:t xml:space="preserve">  </w:t>
      </w:r>
    </w:p>
    <w:p w14:paraId="07DFBB12" w14:textId="77777777" w:rsidR="001A4317" w:rsidRPr="001A4317" w:rsidRDefault="001A4317" w:rsidP="001A4317">
      <w:pPr>
        <w:spacing w:after="264" w:line="271" w:lineRule="auto"/>
        <w:ind w:left="-5" w:hanging="10"/>
        <w:rPr>
          <w:rFonts w:ascii="Arial" w:eastAsia="Calibri" w:hAnsi="Arial" w:cs="Arial"/>
          <w:lang w:eastAsia="en-GB"/>
        </w:rPr>
      </w:pPr>
      <w:r w:rsidRPr="001A4317">
        <w:rPr>
          <w:rFonts w:ascii="Arial" w:eastAsia="Arial" w:hAnsi="Arial" w:cs="Arial"/>
          <w:b/>
          <w:lang w:eastAsia="en-GB"/>
        </w:rPr>
        <w:t xml:space="preserve">Authors are asked to use only the following 2 types of questions, multiple choice questions (MCQs) and extended matching questions and (EMQs). </w:t>
      </w:r>
    </w:p>
    <w:p w14:paraId="2D184B6D" w14:textId="77777777" w:rsidR="001A4317" w:rsidRPr="001A4317" w:rsidRDefault="001A4317" w:rsidP="001A4317">
      <w:pPr>
        <w:spacing w:after="231"/>
        <w:rPr>
          <w:rFonts w:ascii="Arial" w:eastAsia="Calibri" w:hAnsi="Arial" w:cs="Arial"/>
          <w:lang w:eastAsia="en-GB"/>
        </w:rPr>
      </w:pPr>
      <w:r w:rsidRPr="001A4317">
        <w:rPr>
          <w:rFonts w:ascii="Arial" w:eastAsia="Arial" w:hAnsi="Arial" w:cs="Arial"/>
          <w:b/>
          <w:lang w:eastAsia="en-GB"/>
        </w:rPr>
        <w:t xml:space="preserve"> </w:t>
      </w:r>
    </w:p>
    <w:p w14:paraId="18125CAE" w14:textId="77777777" w:rsidR="001A4317" w:rsidRPr="001A4317" w:rsidRDefault="001A4317" w:rsidP="001A4317">
      <w:pPr>
        <w:spacing w:after="278" w:line="279" w:lineRule="auto"/>
        <w:rPr>
          <w:rFonts w:ascii="Arial" w:eastAsia="Calibri" w:hAnsi="Arial" w:cs="Arial"/>
          <w:lang w:eastAsia="en-GB"/>
        </w:rPr>
      </w:pPr>
      <w:r w:rsidRPr="001A4317">
        <w:rPr>
          <w:rFonts w:ascii="Arial" w:eastAsia="Arial" w:hAnsi="Arial" w:cs="Arial"/>
          <w:b/>
          <w:i/>
          <w:lang w:eastAsia="en-GB"/>
        </w:rPr>
        <w:t xml:space="preserve">NB: “True/False” or “Yes/No” dichotomous questions are no longer recommended for advanced clinical assessments. </w:t>
      </w:r>
    </w:p>
    <w:p w14:paraId="137A4F03" w14:textId="77777777" w:rsidR="001A4317" w:rsidRPr="001A4317" w:rsidRDefault="001A4317" w:rsidP="001A4317">
      <w:pPr>
        <w:spacing w:after="222"/>
        <w:rPr>
          <w:rFonts w:ascii="Arial" w:eastAsia="Calibri" w:hAnsi="Arial" w:cs="Arial"/>
          <w:lang w:eastAsia="en-GB"/>
        </w:rPr>
      </w:pPr>
      <w:r w:rsidRPr="001A4317">
        <w:rPr>
          <w:rFonts w:ascii="Arial" w:eastAsia="Arial" w:hAnsi="Arial" w:cs="Arial"/>
          <w:b/>
          <w:lang w:eastAsia="en-GB"/>
        </w:rPr>
        <w:t xml:space="preserve"> </w:t>
      </w:r>
    </w:p>
    <w:p w14:paraId="5635EAB9" w14:textId="77777777" w:rsidR="001A4317" w:rsidRPr="001A4317" w:rsidRDefault="001A4317" w:rsidP="001A4317">
      <w:pPr>
        <w:keepNext/>
        <w:keepLines/>
        <w:spacing w:before="40" w:after="0"/>
        <w:outlineLvl w:val="1"/>
        <w:rPr>
          <w:rFonts w:ascii="Arial" w:eastAsia="Arial" w:hAnsi="Arial" w:cs="Arial"/>
          <w:color w:val="2F5496" w:themeColor="accent1" w:themeShade="BF"/>
          <w:sz w:val="26"/>
          <w:szCs w:val="26"/>
          <w:lang w:eastAsia="en-GB"/>
        </w:rPr>
      </w:pPr>
      <w:bookmarkStart w:id="6" w:name="_Toc5957128"/>
      <w:bookmarkStart w:id="7" w:name="_Toc6231401"/>
      <w:r w:rsidRPr="001A4317">
        <w:rPr>
          <w:rFonts w:ascii="Arial" w:eastAsia="Arial" w:hAnsi="Arial" w:cs="Arial"/>
          <w:color w:val="2F5496" w:themeColor="accent1" w:themeShade="BF"/>
          <w:sz w:val="26"/>
          <w:szCs w:val="26"/>
          <w:u w:color="5F5F5F"/>
          <w:lang w:eastAsia="en-GB"/>
        </w:rPr>
        <w:t>Multiple Choice or single best answer 1 out of 5 or 2 out of 7</w:t>
      </w:r>
      <w:bookmarkEnd w:id="6"/>
      <w:bookmarkEnd w:id="7"/>
    </w:p>
    <w:p w14:paraId="6D7AA3BB" w14:textId="77777777" w:rsidR="001A4317" w:rsidRPr="001A4317" w:rsidRDefault="001A4317" w:rsidP="001A4317">
      <w:pPr>
        <w:spacing w:after="246"/>
        <w:rPr>
          <w:rFonts w:ascii="Arial" w:eastAsia="Calibri" w:hAnsi="Arial" w:cs="Arial"/>
          <w:lang w:eastAsia="en-GB"/>
        </w:rPr>
      </w:pPr>
      <w:r w:rsidRPr="001A4317">
        <w:rPr>
          <w:rFonts w:ascii="Arial" w:eastAsia="Arial" w:hAnsi="Arial" w:cs="Arial"/>
          <w:lang w:eastAsia="en-GB"/>
        </w:rPr>
        <w:t>Multiple choice questions, involve choosing one or two correct answers from a list of five or seven options, containing incorrect choices or distractors. The incorrect answers should be plausible and appear similar in detail to the correct answer. Base the question (s) on a short, clinical context for each question.  To reduce the amount of reading necessary for testing, try to keep the clinical context below 75 words or use as the basis for more than one question.  Include only the most relevant information.  If the question could still be answered without reading the clinical context, you need to rewrite it.</w:t>
      </w:r>
    </w:p>
    <w:p w14:paraId="14E825B0" w14:textId="77777777" w:rsidR="001A4317" w:rsidRPr="001A4317" w:rsidRDefault="001A4317" w:rsidP="001A4317">
      <w:pPr>
        <w:spacing w:after="0"/>
        <w:rPr>
          <w:rFonts w:ascii="Arial" w:eastAsia="Calibri" w:hAnsi="Arial" w:cs="Arial"/>
          <w:lang w:eastAsia="en-GB"/>
        </w:rPr>
      </w:pPr>
      <w:r w:rsidRPr="001A4317">
        <w:rPr>
          <w:rFonts w:ascii="Arial" w:eastAsia="Arial" w:hAnsi="Arial" w:cs="Arial"/>
          <w:lang w:eastAsia="en-GB"/>
        </w:rPr>
        <w:t xml:space="preserve"> </w:t>
      </w:r>
    </w:p>
    <w:p w14:paraId="28FA8204" w14:textId="77777777" w:rsidR="001A4317" w:rsidRPr="001A4317" w:rsidRDefault="001A4317" w:rsidP="001A4317">
      <w:pPr>
        <w:keepNext/>
        <w:keepLines/>
        <w:spacing w:before="40" w:after="0"/>
        <w:outlineLvl w:val="2"/>
        <w:rPr>
          <w:rFonts w:ascii="Arial" w:eastAsia="Calibri" w:hAnsi="Arial" w:cs="Arial"/>
          <w:color w:val="1F3763" w:themeColor="accent1" w:themeShade="7F"/>
          <w:lang w:eastAsia="en-GB"/>
        </w:rPr>
      </w:pPr>
      <w:bookmarkStart w:id="8" w:name="_Toc5957129"/>
      <w:bookmarkStart w:id="9" w:name="_Toc6231402"/>
      <w:r w:rsidRPr="001A4317">
        <w:rPr>
          <w:rFonts w:ascii="Arial" w:eastAsia="Arial" w:hAnsi="Arial" w:cs="Arial"/>
          <w:color w:val="1F3763" w:themeColor="accent1" w:themeShade="7F"/>
          <w:lang w:eastAsia="en-GB"/>
        </w:rPr>
        <w:t>MCQ Example: 1 from 5</w:t>
      </w:r>
      <w:bookmarkEnd w:id="8"/>
      <w:bookmarkEnd w:id="9"/>
      <w:r w:rsidRPr="001A4317">
        <w:rPr>
          <w:rFonts w:ascii="Arial" w:eastAsia="Arial" w:hAnsi="Arial" w:cs="Arial"/>
          <w:i/>
          <w:color w:val="1F3763" w:themeColor="accent1" w:themeShade="7F"/>
          <w:lang w:eastAsia="en-GB"/>
        </w:rPr>
        <w:t xml:space="preserve"> </w:t>
      </w:r>
    </w:p>
    <w:p w14:paraId="2D5AAC52" w14:textId="77777777" w:rsidR="001A4317" w:rsidRPr="001A4317" w:rsidRDefault="001A4317" w:rsidP="001A4317">
      <w:pPr>
        <w:spacing w:after="96" w:line="271" w:lineRule="auto"/>
        <w:ind w:left="550" w:hanging="10"/>
        <w:rPr>
          <w:rFonts w:ascii="Arial" w:eastAsia="Calibri" w:hAnsi="Arial" w:cs="Arial"/>
          <w:lang w:eastAsia="en-GB"/>
        </w:rPr>
      </w:pPr>
      <w:r w:rsidRPr="001A4317">
        <w:rPr>
          <w:rFonts w:ascii="Arial" w:eastAsia="Arial" w:hAnsi="Arial" w:cs="Arial"/>
          <w:lang w:eastAsia="en-GB"/>
        </w:rPr>
        <w:t>A 76-year-old lady is admitted to hospital with abdominal pain and undergoes surgery for a strangulated femoral hernia. She had previously been well and was on no drugs apart from omeprazole 20mg daily as required for intermittent dyspepsia, and bendrofluazide 5 mg daily for the past year for bilateral ankle swelling. She had previously been well.</w:t>
      </w:r>
    </w:p>
    <w:p w14:paraId="0A91899A" w14:textId="77777777" w:rsidR="001A4317" w:rsidRPr="001A4317" w:rsidRDefault="001A4317" w:rsidP="001A4317">
      <w:pPr>
        <w:spacing w:after="115" w:line="271" w:lineRule="auto"/>
        <w:ind w:left="550" w:hanging="10"/>
        <w:rPr>
          <w:rFonts w:ascii="Arial" w:eastAsia="Arial" w:hAnsi="Arial" w:cs="Arial"/>
          <w:lang w:eastAsia="en-GB"/>
        </w:rPr>
      </w:pPr>
      <w:r w:rsidRPr="001A4317">
        <w:rPr>
          <w:rFonts w:ascii="Arial" w:eastAsia="Arial" w:hAnsi="Arial" w:cs="Arial"/>
          <w:lang w:eastAsia="en-GB"/>
        </w:rPr>
        <w:t>There were no surgical complications but on her 3</w:t>
      </w:r>
      <w:r w:rsidRPr="001A4317">
        <w:rPr>
          <w:rFonts w:ascii="Arial" w:eastAsia="Arial" w:hAnsi="Arial" w:cs="Arial"/>
          <w:vertAlign w:val="superscript"/>
          <w:lang w:eastAsia="en-GB"/>
        </w:rPr>
        <w:t>rd</w:t>
      </w:r>
      <w:r w:rsidRPr="001A4317">
        <w:rPr>
          <w:rFonts w:ascii="Arial" w:eastAsia="Arial" w:hAnsi="Arial" w:cs="Arial"/>
          <w:lang w:eastAsia="en-GB"/>
        </w:rPr>
        <w:t xml:space="preserve"> post-operative day she develops an acutely painful swollen right knee and feels a little unwell. She had never before experienced acute swelling of any joint. </w:t>
      </w:r>
    </w:p>
    <w:p w14:paraId="0C589B2F" w14:textId="77777777" w:rsidR="001A4317" w:rsidRPr="001A4317" w:rsidRDefault="001A4317" w:rsidP="001A4317">
      <w:pPr>
        <w:spacing w:after="115" w:line="271" w:lineRule="auto"/>
        <w:ind w:left="550" w:hanging="10"/>
        <w:rPr>
          <w:rFonts w:ascii="Arial" w:eastAsia="Calibri" w:hAnsi="Arial" w:cs="Arial"/>
          <w:lang w:eastAsia="en-GB"/>
        </w:rPr>
      </w:pPr>
      <w:r w:rsidRPr="001A4317">
        <w:rPr>
          <w:rFonts w:ascii="Arial" w:eastAsia="Arial" w:hAnsi="Arial" w:cs="Arial"/>
          <w:lang w:eastAsia="en-GB"/>
        </w:rPr>
        <w:t xml:space="preserve">On examination she has a warm effusion, marked joint-line and periarticular tenderness and overlying erythema of her right knee; it is too painful to fully examine movement. Her left knee shows patello-femoral crepitus, bony swelling of the tibio-femoral margins, a bulge sign and reduced flexion and extension without stress pain. Her temperature is 38.4° C.    </w:t>
      </w:r>
    </w:p>
    <w:p w14:paraId="3E46236E" w14:textId="77777777" w:rsidR="001A4317" w:rsidRPr="001A4317" w:rsidRDefault="001A4317" w:rsidP="001A4317">
      <w:pPr>
        <w:spacing w:after="235"/>
        <w:ind w:left="540"/>
        <w:rPr>
          <w:rFonts w:ascii="Arial" w:eastAsia="Calibri" w:hAnsi="Arial" w:cs="Arial"/>
          <w:lang w:eastAsia="en-GB"/>
        </w:rPr>
      </w:pPr>
      <w:r w:rsidRPr="001A4317">
        <w:rPr>
          <w:rFonts w:ascii="Arial" w:eastAsia="Arial" w:hAnsi="Arial" w:cs="Arial"/>
          <w:lang w:eastAsia="en-GB"/>
        </w:rPr>
        <w:t xml:space="preserve"> </w:t>
      </w:r>
    </w:p>
    <w:tbl>
      <w:tblPr>
        <w:tblStyle w:val="TableGrid0"/>
        <w:tblW w:w="0" w:type="auto"/>
        <w:tblInd w:w="550" w:type="dxa"/>
        <w:tblLook w:val="04A0" w:firstRow="1" w:lastRow="0" w:firstColumn="1" w:lastColumn="0" w:noHBand="0" w:noVBand="1"/>
      </w:tblPr>
      <w:tblGrid>
        <w:gridCol w:w="4841"/>
        <w:gridCol w:w="3625"/>
      </w:tblGrid>
      <w:tr w:rsidR="001A4317" w:rsidRPr="001A4317" w14:paraId="52642290" w14:textId="77777777" w:rsidTr="003B042C">
        <w:tc>
          <w:tcPr>
            <w:tcW w:w="4841" w:type="dxa"/>
          </w:tcPr>
          <w:p w14:paraId="23CA0622" w14:textId="77777777" w:rsidR="001A4317" w:rsidRPr="001A4317" w:rsidRDefault="001A4317" w:rsidP="001A4317">
            <w:pPr>
              <w:spacing w:after="12" w:line="249" w:lineRule="auto"/>
              <w:rPr>
                <w:rFonts w:ascii="Arial" w:eastAsia="Calibri" w:hAnsi="Arial" w:cs="Arial"/>
                <w:b/>
              </w:rPr>
            </w:pPr>
            <w:r w:rsidRPr="001A4317">
              <w:rPr>
                <w:rFonts w:ascii="Arial" w:eastAsia="Arial" w:hAnsi="Arial" w:cs="Arial"/>
                <w:b/>
              </w:rPr>
              <w:t xml:space="preserve">Specify the single most likely diagnosis                      </w:t>
            </w:r>
          </w:p>
        </w:tc>
        <w:tc>
          <w:tcPr>
            <w:tcW w:w="3625" w:type="dxa"/>
          </w:tcPr>
          <w:p w14:paraId="185A11A8" w14:textId="77777777" w:rsidR="001A4317" w:rsidRPr="001A4317" w:rsidRDefault="001A4317" w:rsidP="001A4317">
            <w:pPr>
              <w:spacing w:after="12" w:line="249" w:lineRule="auto"/>
              <w:rPr>
                <w:rFonts w:ascii="Arial" w:eastAsia="Arial" w:hAnsi="Arial" w:cs="Arial"/>
              </w:rPr>
            </w:pPr>
          </w:p>
        </w:tc>
      </w:tr>
      <w:tr w:rsidR="001A4317" w:rsidRPr="001A4317" w14:paraId="7599181D" w14:textId="77777777" w:rsidTr="003B042C">
        <w:tc>
          <w:tcPr>
            <w:tcW w:w="4841" w:type="dxa"/>
          </w:tcPr>
          <w:p w14:paraId="668EC18E" w14:textId="77777777" w:rsidR="001A4317" w:rsidRPr="001A4317" w:rsidRDefault="001A4317" w:rsidP="001A4317">
            <w:pPr>
              <w:tabs>
                <w:tab w:val="center" w:pos="3381"/>
                <w:tab w:val="center" w:pos="6481"/>
                <w:tab w:val="center" w:pos="7201"/>
                <w:tab w:val="center" w:pos="8162"/>
              </w:tabs>
              <w:spacing w:after="12" w:line="249" w:lineRule="auto"/>
              <w:rPr>
                <w:rFonts w:ascii="Arial" w:eastAsia="Calibri" w:hAnsi="Arial" w:cs="Arial"/>
              </w:rPr>
            </w:pPr>
            <w:r w:rsidRPr="001A4317">
              <w:rPr>
                <w:rFonts w:ascii="Arial" w:eastAsia="Arial" w:hAnsi="Arial" w:cs="Arial"/>
              </w:rPr>
              <w:t xml:space="preserve">Acute pyrophosphate arthritis (pseudogout)   </w:t>
            </w:r>
            <w:r w:rsidRPr="001A4317">
              <w:rPr>
                <w:rFonts w:ascii="Arial" w:eastAsia="Arial" w:hAnsi="Arial" w:cs="Arial"/>
              </w:rPr>
              <w:tab/>
              <w:t xml:space="preserve"> </w:t>
            </w:r>
          </w:p>
        </w:tc>
        <w:tc>
          <w:tcPr>
            <w:tcW w:w="3625" w:type="dxa"/>
          </w:tcPr>
          <w:p w14:paraId="0DA45D39" w14:textId="77777777" w:rsidR="001A4317" w:rsidRPr="001A4317" w:rsidRDefault="001A4317" w:rsidP="001A4317">
            <w:pPr>
              <w:tabs>
                <w:tab w:val="center" w:pos="3381"/>
                <w:tab w:val="center" w:pos="6481"/>
                <w:tab w:val="center" w:pos="7201"/>
                <w:tab w:val="center" w:pos="8162"/>
              </w:tabs>
              <w:spacing w:after="12" w:line="249" w:lineRule="auto"/>
              <w:rPr>
                <w:rFonts w:ascii="Arial" w:eastAsia="Arial" w:hAnsi="Arial" w:cs="Arial"/>
              </w:rPr>
            </w:pPr>
            <w:r w:rsidRPr="001A4317">
              <w:rPr>
                <w:rFonts w:ascii="Arial" w:eastAsia="Arial" w:hAnsi="Arial" w:cs="Arial"/>
              </w:rPr>
              <w:t>[YES]</w:t>
            </w:r>
          </w:p>
        </w:tc>
      </w:tr>
      <w:tr w:rsidR="001A4317" w:rsidRPr="001A4317" w14:paraId="38E2E558" w14:textId="77777777" w:rsidTr="003B042C">
        <w:tc>
          <w:tcPr>
            <w:tcW w:w="4841" w:type="dxa"/>
          </w:tcPr>
          <w:p w14:paraId="0D3F0A86" w14:textId="77777777" w:rsidR="001A4317" w:rsidRPr="001A4317" w:rsidRDefault="001A4317" w:rsidP="001A4317">
            <w:pPr>
              <w:tabs>
                <w:tab w:val="center" w:pos="1654"/>
                <w:tab w:val="center" w:pos="2881"/>
                <w:tab w:val="center" w:pos="3601"/>
                <w:tab w:val="center" w:pos="4321"/>
                <w:tab w:val="center" w:pos="5041"/>
                <w:tab w:val="center" w:pos="5761"/>
                <w:tab w:val="center" w:pos="6481"/>
                <w:tab w:val="center" w:pos="7201"/>
                <w:tab w:val="center" w:pos="8056"/>
              </w:tabs>
              <w:spacing w:after="12" w:line="249" w:lineRule="auto"/>
              <w:rPr>
                <w:rFonts w:ascii="Arial" w:eastAsia="Calibri" w:hAnsi="Arial" w:cs="Arial"/>
              </w:rPr>
            </w:pPr>
            <w:r w:rsidRPr="001A4317">
              <w:rPr>
                <w:rFonts w:ascii="Arial" w:eastAsia="Arial" w:hAnsi="Arial" w:cs="Arial"/>
              </w:rPr>
              <w:t xml:space="preserve">Acute gout </w:t>
            </w:r>
            <w:r w:rsidRPr="001A4317">
              <w:rPr>
                <w:rFonts w:ascii="Arial" w:eastAsia="Arial" w:hAnsi="Arial" w:cs="Arial"/>
              </w:rPr>
              <w:tab/>
              <w:t xml:space="preserve">    </w:t>
            </w:r>
            <w:r w:rsidRPr="001A4317">
              <w:rPr>
                <w:rFonts w:ascii="Arial" w:eastAsia="Arial" w:hAnsi="Arial" w:cs="Arial"/>
              </w:rPr>
              <w:tab/>
              <w:t xml:space="preserve"> </w:t>
            </w:r>
            <w:r w:rsidRPr="001A4317">
              <w:rPr>
                <w:rFonts w:ascii="Arial" w:eastAsia="Arial" w:hAnsi="Arial" w:cs="Arial"/>
              </w:rPr>
              <w:tab/>
              <w:t xml:space="preserve"> </w:t>
            </w:r>
            <w:r w:rsidRPr="001A4317">
              <w:rPr>
                <w:rFonts w:ascii="Arial" w:eastAsia="Arial" w:hAnsi="Arial" w:cs="Arial"/>
              </w:rPr>
              <w:tab/>
              <w:t xml:space="preserve">  </w:t>
            </w:r>
          </w:p>
        </w:tc>
        <w:tc>
          <w:tcPr>
            <w:tcW w:w="3625" w:type="dxa"/>
          </w:tcPr>
          <w:p w14:paraId="46835F11" w14:textId="77777777" w:rsidR="001A4317" w:rsidRPr="001A4317" w:rsidRDefault="001A4317" w:rsidP="001A4317">
            <w:pPr>
              <w:tabs>
                <w:tab w:val="center" w:pos="1654"/>
                <w:tab w:val="center" w:pos="2881"/>
                <w:tab w:val="center" w:pos="3601"/>
                <w:tab w:val="center" w:pos="4321"/>
                <w:tab w:val="center" w:pos="5041"/>
                <w:tab w:val="center" w:pos="5761"/>
                <w:tab w:val="center" w:pos="6481"/>
                <w:tab w:val="center" w:pos="7201"/>
                <w:tab w:val="center" w:pos="8056"/>
              </w:tabs>
              <w:spacing w:after="12" w:line="249" w:lineRule="auto"/>
              <w:rPr>
                <w:rFonts w:ascii="Arial" w:eastAsia="Arial" w:hAnsi="Arial" w:cs="Arial"/>
              </w:rPr>
            </w:pPr>
            <w:r w:rsidRPr="001A4317">
              <w:rPr>
                <w:rFonts w:ascii="Arial" w:eastAsia="Arial" w:hAnsi="Arial" w:cs="Arial"/>
              </w:rPr>
              <w:t>[NO]</w:t>
            </w:r>
          </w:p>
        </w:tc>
      </w:tr>
      <w:tr w:rsidR="001A4317" w:rsidRPr="001A4317" w14:paraId="55578EBE" w14:textId="77777777" w:rsidTr="003B042C">
        <w:tc>
          <w:tcPr>
            <w:tcW w:w="4841" w:type="dxa"/>
          </w:tcPr>
          <w:p w14:paraId="73853676" w14:textId="77777777" w:rsidR="001A4317" w:rsidRPr="001A4317" w:rsidRDefault="001A4317" w:rsidP="001A4317">
            <w:pPr>
              <w:tabs>
                <w:tab w:val="center" w:pos="2268"/>
                <w:tab w:val="center" w:pos="4321"/>
                <w:tab w:val="center" w:pos="5041"/>
                <w:tab w:val="center" w:pos="5761"/>
                <w:tab w:val="center" w:pos="6481"/>
                <w:tab w:val="center" w:pos="7201"/>
                <w:tab w:val="center" w:pos="8056"/>
              </w:tabs>
              <w:spacing w:after="34" w:line="249" w:lineRule="auto"/>
              <w:rPr>
                <w:rFonts w:ascii="Arial" w:eastAsia="Calibri" w:hAnsi="Arial" w:cs="Arial"/>
              </w:rPr>
            </w:pPr>
            <w:r w:rsidRPr="001A4317">
              <w:rPr>
                <w:rFonts w:ascii="Arial" w:eastAsia="Arial" w:hAnsi="Arial" w:cs="Arial"/>
              </w:rPr>
              <w:t xml:space="preserve">Acute reactive arthritis  </w:t>
            </w:r>
            <w:r w:rsidRPr="001A4317">
              <w:rPr>
                <w:rFonts w:ascii="Arial" w:eastAsia="Arial" w:hAnsi="Arial" w:cs="Arial"/>
              </w:rPr>
              <w:tab/>
              <w:t xml:space="preserve">  </w:t>
            </w:r>
          </w:p>
        </w:tc>
        <w:tc>
          <w:tcPr>
            <w:tcW w:w="3625" w:type="dxa"/>
          </w:tcPr>
          <w:p w14:paraId="5887305F" w14:textId="77777777" w:rsidR="001A4317" w:rsidRPr="001A4317" w:rsidRDefault="001A4317" w:rsidP="001A4317">
            <w:pPr>
              <w:tabs>
                <w:tab w:val="center" w:pos="2268"/>
                <w:tab w:val="center" w:pos="4321"/>
                <w:tab w:val="center" w:pos="5041"/>
                <w:tab w:val="center" w:pos="5761"/>
                <w:tab w:val="center" w:pos="6481"/>
                <w:tab w:val="center" w:pos="7201"/>
                <w:tab w:val="center" w:pos="8056"/>
              </w:tabs>
              <w:spacing w:after="34" w:line="249" w:lineRule="auto"/>
              <w:rPr>
                <w:rFonts w:ascii="Arial" w:eastAsia="Arial" w:hAnsi="Arial" w:cs="Arial"/>
              </w:rPr>
            </w:pPr>
            <w:r w:rsidRPr="001A4317">
              <w:rPr>
                <w:rFonts w:ascii="Arial" w:eastAsia="Arial" w:hAnsi="Arial" w:cs="Arial"/>
              </w:rPr>
              <w:t>[NO]</w:t>
            </w:r>
          </w:p>
        </w:tc>
      </w:tr>
      <w:tr w:rsidR="001A4317" w:rsidRPr="001A4317" w14:paraId="476A4211" w14:textId="77777777" w:rsidTr="003B042C">
        <w:tc>
          <w:tcPr>
            <w:tcW w:w="4841" w:type="dxa"/>
          </w:tcPr>
          <w:p w14:paraId="1B0BEDE3" w14:textId="77777777" w:rsidR="001A4317" w:rsidRPr="001A4317" w:rsidRDefault="001A4317" w:rsidP="001A4317">
            <w:pPr>
              <w:spacing w:after="12" w:line="249" w:lineRule="auto"/>
              <w:rPr>
                <w:rFonts w:ascii="Arial" w:eastAsia="Arial" w:hAnsi="Arial" w:cs="Arial"/>
              </w:rPr>
            </w:pPr>
            <w:r w:rsidRPr="001A4317">
              <w:rPr>
                <w:rFonts w:ascii="Arial" w:eastAsia="Arial" w:hAnsi="Arial" w:cs="Arial"/>
              </w:rPr>
              <w:t xml:space="preserve">Exacerbation (“flare”) of knee osteoarthritis    </w:t>
            </w:r>
          </w:p>
        </w:tc>
        <w:tc>
          <w:tcPr>
            <w:tcW w:w="3625" w:type="dxa"/>
          </w:tcPr>
          <w:p w14:paraId="33B1CF4B" w14:textId="77777777" w:rsidR="001A4317" w:rsidRPr="001A4317" w:rsidRDefault="001A4317" w:rsidP="001A4317">
            <w:pPr>
              <w:spacing w:after="12" w:line="249" w:lineRule="auto"/>
              <w:rPr>
                <w:rFonts w:ascii="Arial" w:eastAsia="Arial" w:hAnsi="Arial" w:cs="Arial"/>
              </w:rPr>
            </w:pPr>
            <w:r w:rsidRPr="001A4317">
              <w:rPr>
                <w:rFonts w:ascii="Arial" w:eastAsia="Arial" w:hAnsi="Arial" w:cs="Arial"/>
              </w:rPr>
              <w:t xml:space="preserve">[NO]  </w:t>
            </w:r>
          </w:p>
        </w:tc>
      </w:tr>
      <w:tr w:rsidR="001A4317" w:rsidRPr="001A4317" w14:paraId="7C5E5855" w14:textId="77777777" w:rsidTr="003B042C">
        <w:tc>
          <w:tcPr>
            <w:tcW w:w="4841" w:type="dxa"/>
          </w:tcPr>
          <w:p w14:paraId="52756D80" w14:textId="77777777" w:rsidR="001A4317" w:rsidRPr="001A4317" w:rsidRDefault="001A4317" w:rsidP="001A4317">
            <w:pPr>
              <w:tabs>
                <w:tab w:val="center" w:pos="1841"/>
                <w:tab w:val="center" w:pos="3601"/>
                <w:tab w:val="center" w:pos="4321"/>
                <w:tab w:val="center" w:pos="5041"/>
                <w:tab w:val="center" w:pos="5761"/>
                <w:tab w:val="center" w:pos="6481"/>
                <w:tab w:val="center" w:pos="7201"/>
                <w:tab w:val="center" w:pos="8056"/>
              </w:tabs>
              <w:spacing w:after="12" w:line="249" w:lineRule="auto"/>
              <w:rPr>
                <w:rFonts w:ascii="Arial" w:eastAsia="Calibri" w:hAnsi="Arial" w:cs="Arial"/>
              </w:rPr>
            </w:pPr>
            <w:r w:rsidRPr="001A4317">
              <w:rPr>
                <w:rFonts w:ascii="Arial" w:eastAsia="Arial" w:hAnsi="Arial" w:cs="Arial"/>
              </w:rPr>
              <w:t xml:space="preserve">Septic arthritis    </w:t>
            </w:r>
            <w:r w:rsidRPr="001A4317">
              <w:rPr>
                <w:rFonts w:ascii="Arial" w:eastAsia="Arial" w:hAnsi="Arial" w:cs="Arial"/>
              </w:rPr>
              <w:tab/>
              <w:t xml:space="preserve"> </w:t>
            </w:r>
            <w:r w:rsidRPr="001A4317">
              <w:rPr>
                <w:rFonts w:ascii="Arial" w:eastAsia="Arial" w:hAnsi="Arial" w:cs="Arial"/>
              </w:rPr>
              <w:tab/>
              <w:t xml:space="preserve"> </w:t>
            </w:r>
            <w:r w:rsidRPr="001A4317">
              <w:rPr>
                <w:rFonts w:ascii="Arial" w:eastAsia="Arial" w:hAnsi="Arial" w:cs="Arial"/>
              </w:rPr>
              <w:tab/>
            </w:r>
            <w:r w:rsidRPr="001A4317">
              <w:rPr>
                <w:rFonts w:ascii="Arial" w:eastAsia="Arial" w:hAnsi="Arial" w:cs="Arial"/>
              </w:rPr>
              <w:tab/>
              <w:t xml:space="preserve">  </w:t>
            </w:r>
          </w:p>
        </w:tc>
        <w:tc>
          <w:tcPr>
            <w:tcW w:w="3625" w:type="dxa"/>
          </w:tcPr>
          <w:p w14:paraId="7DF6B3D8" w14:textId="77777777" w:rsidR="001A4317" w:rsidRPr="001A4317" w:rsidRDefault="001A4317" w:rsidP="001A4317">
            <w:pPr>
              <w:tabs>
                <w:tab w:val="center" w:pos="1841"/>
                <w:tab w:val="center" w:pos="3601"/>
                <w:tab w:val="center" w:pos="4321"/>
                <w:tab w:val="center" w:pos="5041"/>
                <w:tab w:val="center" w:pos="5761"/>
                <w:tab w:val="center" w:pos="6481"/>
                <w:tab w:val="center" w:pos="7201"/>
                <w:tab w:val="center" w:pos="8056"/>
              </w:tabs>
              <w:spacing w:after="12" w:line="249" w:lineRule="auto"/>
              <w:rPr>
                <w:rFonts w:ascii="Arial" w:eastAsia="Arial" w:hAnsi="Arial" w:cs="Arial"/>
              </w:rPr>
            </w:pPr>
            <w:r w:rsidRPr="001A4317">
              <w:rPr>
                <w:rFonts w:ascii="Arial" w:eastAsia="Arial" w:hAnsi="Arial" w:cs="Arial"/>
              </w:rPr>
              <w:t>[NO]</w:t>
            </w:r>
          </w:p>
        </w:tc>
      </w:tr>
    </w:tbl>
    <w:p w14:paraId="4A6FA040" w14:textId="77777777" w:rsidR="001A4317" w:rsidRPr="001A4317" w:rsidRDefault="001A4317" w:rsidP="001A4317">
      <w:pPr>
        <w:spacing w:after="215"/>
        <w:ind w:left="540"/>
        <w:rPr>
          <w:rFonts w:ascii="Arial" w:eastAsia="Calibri" w:hAnsi="Arial" w:cs="Arial"/>
          <w:lang w:eastAsia="en-GB"/>
        </w:rPr>
      </w:pPr>
    </w:p>
    <w:p w14:paraId="37639C54" w14:textId="77777777" w:rsidR="001A4317" w:rsidRPr="001A4317" w:rsidRDefault="001A4317" w:rsidP="001A4317">
      <w:pPr>
        <w:keepNext/>
        <w:keepLines/>
        <w:spacing w:before="40" w:after="0"/>
        <w:outlineLvl w:val="3"/>
        <w:rPr>
          <w:rFonts w:ascii="Arial" w:eastAsia="Calibri" w:hAnsi="Arial" w:cs="Arial"/>
          <w:iCs/>
          <w:color w:val="2F5496" w:themeColor="accent1" w:themeShade="BF"/>
          <w:sz w:val="22"/>
          <w:szCs w:val="22"/>
          <w:lang w:eastAsia="en-GB"/>
        </w:rPr>
      </w:pPr>
      <w:r w:rsidRPr="001A4317">
        <w:rPr>
          <w:rFonts w:ascii="Arial" w:eastAsia="Arial" w:hAnsi="Arial" w:cs="Arial"/>
          <w:iCs/>
          <w:color w:val="2F5496" w:themeColor="accent1" w:themeShade="BF"/>
          <w:sz w:val="22"/>
          <w:szCs w:val="22"/>
          <w:lang w:eastAsia="en-GB"/>
        </w:rPr>
        <w:lastRenderedPageBreak/>
        <w:t xml:space="preserve">Example </w:t>
      </w:r>
      <w:r w:rsidRPr="001A4317">
        <w:rPr>
          <w:rFonts w:ascii="Arial" w:eastAsiaTheme="majorEastAsia" w:hAnsi="Arial" w:cs="Arial"/>
          <w:iCs/>
          <w:color w:val="2F5496" w:themeColor="accent1" w:themeShade="BF"/>
          <w:sz w:val="22"/>
          <w:szCs w:val="22"/>
        </w:rPr>
        <w:t>Feedback</w:t>
      </w:r>
      <w:r w:rsidRPr="001A4317">
        <w:rPr>
          <w:rFonts w:ascii="Arial" w:eastAsia="Arial" w:hAnsi="Arial" w:cs="Arial"/>
          <w:iCs/>
          <w:color w:val="2F5496" w:themeColor="accent1" w:themeShade="BF"/>
          <w:sz w:val="22"/>
          <w:szCs w:val="22"/>
          <w:lang w:eastAsia="en-GB"/>
        </w:rPr>
        <w:t xml:space="preserve"> </w:t>
      </w:r>
    </w:p>
    <w:p w14:paraId="03711DA2" w14:textId="77777777" w:rsidR="001A4317" w:rsidRPr="001A4317" w:rsidRDefault="001A4317" w:rsidP="001A4317">
      <w:pPr>
        <w:spacing w:after="255" w:line="268" w:lineRule="auto"/>
        <w:rPr>
          <w:rFonts w:ascii="Arial" w:eastAsia="Calibri" w:hAnsi="Arial" w:cs="Arial"/>
          <w:lang w:eastAsia="en-GB"/>
        </w:rPr>
      </w:pPr>
      <w:r w:rsidRPr="001A4317">
        <w:rPr>
          <w:rFonts w:ascii="Arial" w:eastAsia="Arial" w:hAnsi="Arial" w:cs="Arial"/>
          <w:lang w:eastAsia="en-GB"/>
        </w:rPr>
        <w:t xml:space="preserve">Rapid onset of severe pain, swelling and overlying that is at its worst within 6-12 hours is very characteristic of crystal synovitis – gout or pseudogout.  Intercurrent illness such as surgery can provoke acute attacks of crystal synovitis.  Either gout or pseudogout, pseudogout is the more likely because: </w:t>
      </w:r>
    </w:p>
    <w:p w14:paraId="258A7E89" w14:textId="77777777" w:rsidR="001A4317" w:rsidRPr="001A4317" w:rsidRDefault="001A4317" w:rsidP="001A4317">
      <w:pPr>
        <w:numPr>
          <w:ilvl w:val="0"/>
          <w:numId w:val="4"/>
        </w:numPr>
        <w:spacing w:after="255" w:line="268" w:lineRule="auto"/>
        <w:contextualSpacing/>
        <w:rPr>
          <w:rFonts w:ascii="Arial" w:eastAsia="Calibri" w:hAnsi="Arial" w:cs="Arial"/>
          <w:lang w:eastAsia="en-GB"/>
        </w:rPr>
      </w:pPr>
      <w:r w:rsidRPr="001A4317">
        <w:rPr>
          <w:rFonts w:ascii="Arial" w:eastAsia="Arial" w:hAnsi="Arial" w:cs="Arial"/>
          <w:lang w:eastAsia="en-GB"/>
        </w:rPr>
        <w:t xml:space="preserve">she has been on diuretics for just 6 months (short for predisposition to gout)  </w:t>
      </w:r>
    </w:p>
    <w:p w14:paraId="4D250777" w14:textId="77777777" w:rsidR="001A4317" w:rsidRPr="001A4317" w:rsidRDefault="001A4317" w:rsidP="001A4317">
      <w:pPr>
        <w:numPr>
          <w:ilvl w:val="0"/>
          <w:numId w:val="4"/>
        </w:numPr>
        <w:spacing w:after="255" w:line="268" w:lineRule="auto"/>
        <w:contextualSpacing/>
        <w:rPr>
          <w:rFonts w:ascii="Arial" w:eastAsia="Calibri" w:hAnsi="Arial" w:cs="Arial"/>
          <w:lang w:eastAsia="en-GB"/>
        </w:rPr>
      </w:pPr>
      <w:r w:rsidRPr="001A4317">
        <w:rPr>
          <w:rFonts w:ascii="Arial" w:eastAsia="Arial" w:hAnsi="Arial" w:cs="Arial"/>
          <w:lang w:eastAsia="en-GB"/>
        </w:rPr>
        <w:t xml:space="preserve">she has knee OA  - this associates with CPPD deposition  </w:t>
      </w:r>
    </w:p>
    <w:p w14:paraId="209C34D4" w14:textId="77777777" w:rsidR="001A4317" w:rsidRPr="001A4317" w:rsidRDefault="001A4317" w:rsidP="001A4317">
      <w:pPr>
        <w:numPr>
          <w:ilvl w:val="0"/>
          <w:numId w:val="4"/>
        </w:numPr>
        <w:spacing w:after="255" w:line="268" w:lineRule="auto"/>
        <w:contextualSpacing/>
        <w:rPr>
          <w:rFonts w:ascii="Arial" w:eastAsia="Calibri" w:hAnsi="Arial" w:cs="Arial"/>
          <w:lang w:eastAsia="en-GB"/>
        </w:rPr>
      </w:pPr>
      <w:r w:rsidRPr="001A4317">
        <w:rPr>
          <w:rFonts w:ascii="Arial" w:eastAsia="Arial" w:hAnsi="Arial" w:cs="Arial"/>
          <w:lang w:eastAsia="en-GB"/>
        </w:rPr>
        <w:t xml:space="preserve">the knee is the key target joint for pseudogout  </w:t>
      </w:r>
    </w:p>
    <w:p w14:paraId="23A35F44" w14:textId="77777777" w:rsidR="001A4317" w:rsidRPr="001A4317" w:rsidRDefault="001A4317" w:rsidP="001A4317">
      <w:pPr>
        <w:spacing w:after="206" w:line="268" w:lineRule="auto"/>
        <w:ind w:left="-5" w:hanging="10"/>
        <w:rPr>
          <w:rFonts w:ascii="Arial" w:eastAsia="Arial" w:hAnsi="Arial" w:cs="Arial"/>
          <w:lang w:eastAsia="en-GB"/>
        </w:rPr>
      </w:pPr>
      <w:r w:rsidRPr="001A4317">
        <w:rPr>
          <w:rFonts w:ascii="Arial" w:eastAsia="Arial" w:hAnsi="Arial" w:cs="Arial"/>
          <w:lang w:eastAsia="en-GB"/>
        </w:rPr>
        <w:t>After crystal synovitis, septic arthritis requires consideration in this setting.  However,</w:t>
      </w:r>
      <w:r w:rsidRPr="001A4317">
        <w:rPr>
          <w:rFonts w:ascii="Arial" w:eastAsia="Arial" w:hAnsi="Arial" w:cs="Arial"/>
          <w:b/>
          <w:lang w:eastAsia="en-GB"/>
        </w:rPr>
        <w:t xml:space="preserve"> </w:t>
      </w:r>
      <w:r w:rsidRPr="001A4317">
        <w:rPr>
          <w:rFonts w:ascii="Arial" w:eastAsia="Arial" w:hAnsi="Arial" w:cs="Arial"/>
          <w:lang w:eastAsia="en-GB"/>
        </w:rPr>
        <w:t xml:space="preserve">septic arthritis is usually subacute and progressive in its presentation. </w:t>
      </w:r>
    </w:p>
    <w:p w14:paraId="4D8A7AA9" w14:textId="77777777" w:rsidR="001A4317" w:rsidRPr="001A4317" w:rsidRDefault="001A4317" w:rsidP="001A4317">
      <w:pPr>
        <w:keepNext/>
        <w:keepLines/>
        <w:spacing w:before="40" w:after="0"/>
        <w:outlineLvl w:val="2"/>
        <w:rPr>
          <w:rFonts w:ascii="Arial" w:eastAsiaTheme="majorEastAsia" w:hAnsi="Arial" w:cs="Arial"/>
          <w:color w:val="1F3763" w:themeColor="accent1" w:themeShade="7F"/>
        </w:rPr>
      </w:pPr>
      <w:bookmarkStart w:id="10" w:name="_Toc5957130"/>
      <w:bookmarkStart w:id="11" w:name="_Toc6231403"/>
      <w:r w:rsidRPr="001A4317">
        <w:rPr>
          <w:rFonts w:ascii="Arial" w:eastAsiaTheme="majorEastAsia" w:hAnsi="Arial" w:cs="Arial"/>
          <w:color w:val="1F3763" w:themeColor="accent1" w:themeShade="7F"/>
        </w:rPr>
        <w:t>MCQ Example 2 out of 7:</w:t>
      </w:r>
      <w:bookmarkEnd w:id="10"/>
      <w:bookmarkEnd w:id="11"/>
    </w:p>
    <w:p w14:paraId="54907FC2" w14:textId="77777777" w:rsidR="001A4317" w:rsidRPr="001A4317" w:rsidRDefault="001A4317" w:rsidP="001A4317">
      <w:pPr>
        <w:spacing w:after="0" w:line="360" w:lineRule="auto"/>
        <w:rPr>
          <w:rFonts w:ascii="Arial" w:hAnsi="Arial" w:cs="Arial"/>
          <w:b/>
        </w:rPr>
      </w:pPr>
      <w:r w:rsidRPr="001A4317">
        <w:rPr>
          <w:rFonts w:ascii="Arial" w:hAnsi="Arial" w:cs="Arial"/>
          <w:b/>
        </w:rPr>
        <w:t>Stem:</w:t>
      </w:r>
    </w:p>
    <w:p w14:paraId="46821190" w14:textId="77777777" w:rsidR="001A4317" w:rsidRPr="001A4317" w:rsidRDefault="001A4317" w:rsidP="001A4317">
      <w:pPr>
        <w:spacing w:after="0"/>
        <w:rPr>
          <w:rFonts w:ascii="Arial" w:hAnsi="Arial" w:cs="Arial"/>
        </w:rPr>
      </w:pPr>
      <w:r w:rsidRPr="001A4317">
        <w:rPr>
          <w:rFonts w:ascii="Arial" w:hAnsi="Arial" w:cs="Arial"/>
        </w:rPr>
        <w:t xml:space="preserve">Janet has suffered from rheumatoid arthritis (RA) for many years. She also suffers from psychological distress. She was therefore referred to a psychologist for psychological assessment. One of the tests performed by the psychologist was a personality test. One of the conclusions in the test report is that Janet’s personality is characterised by a high degree of neuroticism (proneness to negative emotions) and by a self-sacrificing defence style. </w:t>
      </w:r>
    </w:p>
    <w:p w14:paraId="06E8A439" w14:textId="77777777" w:rsidR="001A4317" w:rsidRPr="001A4317" w:rsidRDefault="001A4317" w:rsidP="001A4317">
      <w:pPr>
        <w:spacing w:after="0" w:line="360" w:lineRule="auto"/>
        <w:rPr>
          <w:rFonts w:ascii="Arial" w:hAnsi="Arial" w:cs="Arial"/>
        </w:rPr>
      </w:pPr>
    </w:p>
    <w:p w14:paraId="25F0C931" w14:textId="77777777" w:rsidR="001A4317" w:rsidRPr="001A4317" w:rsidRDefault="001A4317" w:rsidP="001A4317">
      <w:pPr>
        <w:spacing w:after="0" w:line="360" w:lineRule="auto"/>
        <w:rPr>
          <w:rFonts w:ascii="Arial" w:hAnsi="Arial" w:cs="Arial"/>
          <w:b/>
        </w:rPr>
      </w:pPr>
      <w:r w:rsidRPr="001A4317">
        <w:rPr>
          <w:rFonts w:ascii="Arial" w:hAnsi="Arial" w:cs="Arial"/>
          <w:b/>
        </w:rPr>
        <w:t xml:space="preserve">Question number: </w:t>
      </w:r>
    </w:p>
    <w:p w14:paraId="21633644" w14:textId="77777777" w:rsidR="001A4317" w:rsidRPr="001A4317" w:rsidRDefault="001A4317" w:rsidP="001A4317">
      <w:pPr>
        <w:spacing w:after="0" w:line="360" w:lineRule="auto"/>
        <w:rPr>
          <w:rFonts w:ascii="Arial" w:hAnsi="Arial" w:cs="Arial"/>
          <w:b/>
        </w:rPr>
      </w:pPr>
      <w:r w:rsidRPr="001A4317">
        <w:rPr>
          <w:rFonts w:ascii="Arial" w:hAnsi="Arial" w:cs="Arial"/>
          <w:bCs/>
        </w:rPr>
        <w:t>Select the two statements that are correct</w:t>
      </w:r>
      <w:r w:rsidRPr="001A4317">
        <w:rPr>
          <w:rFonts w:ascii="Arial" w:hAnsi="Arial" w:cs="Arial"/>
        </w:rPr>
        <w:t xml:space="preserve">.  </w:t>
      </w:r>
      <w:r w:rsidRPr="001A4317">
        <w:rPr>
          <w:rFonts w:ascii="Arial" w:hAnsi="Arial" w:cs="Arial"/>
          <w:b/>
        </w:rPr>
        <w:t>(2 correct answers)</w:t>
      </w:r>
    </w:p>
    <w:p w14:paraId="7625A3E5" w14:textId="77777777" w:rsidR="001A4317" w:rsidRPr="001A4317" w:rsidRDefault="001A4317" w:rsidP="001A4317">
      <w:pPr>
        <w:spacing w:after="0" w:line="360" w:lineRule="auto"/>
        <w:rPr>
          <w:rFonts w:ascii="Arial" w:hAnsi="Arial" w:cs="Arial"/>
          <w:b/>
        </w:rPr>
      </w:pPr>
    </w:p>
    <w:p w14:paraId="1D0D7630" w14:textId="77777777" w:rsidR="001A4317" w:rsidRPr="001A4317" w:rsidRDefault="001A4317" w:rsidP="001A4317">
      <w:pPr>
        <w:spacing w:line="360" w:lineRule="auto"/>
        <w:contextualSpacing/>
        <w:rPr>
          <w:rFonts w:ascii="Arial" w:hAnsi="Arial" w:cs="Arial"/>
        </w:rPr>
      </w:pPr>
      <w:r w:rsidRPr="001A4317">
        <w:rPr>
          <w:rFonts w:ascii="Arial" w:hAnsi="Arial" w:cs="Arial"/>
          <w:b/>
        </w:rPr>
        <w:t>7 similar, plausible options of which two are correct (2 answers)</w:t>
      </w:r>
    </w:p>
    <w:p w14:paraId="287BDBCB" w14:textId="77777777" w:rsidR="001A4317" w:rsidRPr="001A4317" w:rsidRDefault="001A4317" w:rsidP="001A4317">
      <w:pPr>
        <w:spacing w:after="0"/>
        <w:rPr>
          <w:rFonts w:ascii="Arial" w:hAnsi="Arial" w:cs="Arial"/>
        </w:rPr>
      </w:pPr>
      <w:r w:rsidRPr="001A4317">
        <w:rPr>
          <w:rFonts w:ascii="Arial" w:hAnsi="Arial" w:cs="Arial"/>
        </w:rPr>
        <w:t xml:space="preserve">1. Janet’s personality, characterised by a high degree of neuroticism and by a self- sacrificing defence style, is very typical for RA patients and may be an important aetiological factor for her RA </w:t>
      </w:r>
    </w:p>
    <w:p w14:paraId="32ABB1BF" w14:textId="77777777" w:rsidR="001A4317" w:rsidRPr="001A4317" w:rsidRDefault="001A4317" w:rsidP="001A4317">
      <w:pPr>
        <w:spacing w:after="0"/>
        <w:rPr>
          <w:rFonts w:ascii="Arial" w:hAnsi="Arial" w:cs="Arial"/>
        </w:rPr>
      </w:pPr>
      <w:r w:rsidRPr="001A4317">
        <w:rPr>
          <w:rFonts w:ascii="Arial" w:hAnsi="Arial" w:cs="Arial"/>
        </w:rPr>
        <w:t>2. Neuroticism has been indicated to negatively influence the perception of symptoms and wellbeing in RA.</w:t>
      </w:r>
    </w:p>
    <w:p w14:paraId="7FCEAC4C" w14:textId="77777777" w:rsidR="001A4317" w:rsidRPr="001A4317" w:rsidRDefault="001A4317" w:rsidP="001A4317">
      <w:pPr>
        <w:spacing w:after="0"/>
        <w:rPr>
          <w:rFonts w:ascii="Arial" w:hAnsi="Arial" w:cs="Arial"/>
        </w:rPr>
      </w:pPr>
      <w:r w:rsidRPr="001A4317">
        <w:rPr>
          <w:rFonts w:ascii="Arial" w:hAnsi="Arial" w:cs="Arial"/>
        </w:rPr>
        <w:t>3. Patients with a self- sacrificing defence style such as Janet may be particularly vulnerable to experience more symptoms.</w:t>
      </w:r>
    </w:p>
    <w:p w14:paraId="36B4DD7D" w14:textId="77777777" w:rsidR="001A4317" w:rsidRPr="001A4317" w:rsidRDefault="001A4317" w:rsidP="001A4317">
      <w:pPr>
        <w:spacing w:after="0"/>
        <w:rPr>
          <w:rFonts w:ascii="Arial" w:hAnsi="Arial" w:cs="Arial"/>
        </w:rPr>
      </w:pPr>
      <w:r w:rsidRPr="001A4317">
        <w:rPr>
          <w:rFonts w:ascii="Arial" w:hAnsi="Arial" w:cs="Arial"/>
        </w:rPr>
        <w:t>4. Sixty years ago it was quite uncommon to associate RA with personality factors. In later years the emphasis on personality factors have increased.</w:t>
      </w:r>
    </w:p>
    <w:p w14:paraId="53A1E43E" w14:textId="77777777" w:rsidR="001A4317" w:rsidRPr="001A4317" w:rsidRDefault="001A4317" w:rsidP="001A4317">
      <w:pPr>
        <w:spacing w:after="0"/>
        <w:rPr>
          <w:rFonts w:ascii="Arial" w:hAnsi="Arial" w:cs="Arial"/>
        </w:rPr>
      </w:pPr>
      <w:r w:rsidRPr="001A4317">
        <w:rPr>
          <w:rFonts w:ascii="Arial" w:hAnsi="Arial" w:cs="Arial"/>
        </w:rPr>
        <w:t>5. There is solid empirical evidence for the “Arthritis Personality” concept.</w:t>
      </w:r>
    </w:p>
    <w:p w14:paraId="04BE0494" w14:textId="77777777" w:rsidR="001A4317" w:rsidRPr="001A4317" w:rsidRDefault="001A4317" w:rsidP="001A4317">
      <w:pPr>
        <w:spacing w:after="0"/>
        <w:rPr>
          <w:rFonts w:ascii="Arial" w:hAnsi="Arial" w:cs="Arial"/>
        </w:rPr>
      </w:pPr>
      <w:r w:rsidRPr="001A4317">
        <w:rPr>
          <w:rFonts w:ascii="Arial" w:hAnsi="Arial" w:cs="Arial"/>
        </w:rPr>
        <w:t>6. Low extraversion is more characteristic for patients with RA than high neuroticism.</w:t>
      </w:r>
    </w:p>
    <w:p w14:paraId="08C26461" w14:textId="77777777" w:rsidR="001A4317" w:rsidRPr="001A4317" w:rsidRDefault="001A4317" w:rsidP="001A4317">
      <w:pPr>
        <w:spacing w:after="0"/>
        <w:rPr>
          <w:rFonts w:ascii="Arial" w:hAnsi="Arial" w:cs="Arial"/>
        </w:rPr>
      </w:pPr>
      <w:r w:rsidRPr="001A4317">
        <w:rPr>
          <w:rFonts w:ascii="Arial" w:hAnsi="Arial" w:cs="Arial"/>
        </w:rPr>
        <w:t>7. High hostility is the more characteristic personality characteristic of patients with RA.</w:t>
      </w:r>
    </w:p>
    <w:p w14:paraId="2491A313" w14:textId="77777777" w:rsidR="001A4317" w:rsidRPr="001A4317" w:rsidRDefault="001A4317" w:rsidP="001A4317">
      <w:pPr>
        <w:spacing w:after="0" w:line="360" w:lineRule="auto"/>
        <w:rPr>
          <w:rFonts w:ascii="Arial" w:hAnsi="Arial" w:cs="Arial"/>
        </w:rPr>
      </w:pPr>
    </w:p>
    <w:p w14:paraId="0229CE79" w14:textId="77777777" w:rsidR="001A4317" w:rsidRPr="001A4317" w:rsidRDefault="001A4317" w:rsidP="001A4317">
      <w:pPr>
        <w:spacing w:after="0" w:line="360" w:lineRule="auto"/>
        <w:rPr>
          <w:rFonts w:ascii="Arial" w:hAnsi="Arial" w:cs="Arial"/>
          <w:b/>
        </w:rPr>
      </w:pPr>
      <w:r w:rsidRPr="001A4317">
        <w:rPr>
          <w:rFonts w:ascii="Arial" w:hAnsi="Arial" w:cs="Arial"/>
          <w:b/>
        </w:rPr>
        <w:t>Clear statement of 2 correct answers</w:t>
      </w:r>
    </w:p>
    <w:p w14:paraId="18E29EC6" w14:textId="77777777" w:rsidR="001A4317" w:rsidRPr="001A4317" w:rsidRDefault="001A4317" w:rsidP="001A4317">
      <w:pPr>
        <w:spacing w:after="0" w:line="360" w:lineRule="auto"/>
        <w:ind w:left="360"/>
        <w:rPr>
          <w:rFonts w:ascii="Arial" w:hAnsi="Arial" w:cs="Arial"/>
        </w:rPr>
      </w:pPr>
      <w:r w:rsidRPr="001A4317">
        <w:rPr>
          <w:rFonts w:ascii="Arial" w:hAnsi="Arial" w:cs="Arial"/>
          <w:b/>
        </w:rPr>
        <w:t>Correct answers:</w:t>
      </w:r>
      <w:r w:rsidRPr="001A4317">
        <w:rPr>
          <w:rFonts w:ascii="Arial" w:hAnsi="Arial" w:cs="Arial"/>
        </w:rPr>
        <w:t xml:space="preserve">  </w:t>
      </w:r>
    </w:p>
    <w:p w14:paraId="48F1C8DB" w14:textId="77777777" w:rsidR="001A4317" w:rsidRPr="001A4317" w:rsidRDefault="001A4317" w:rsidP="001A4317">
      <w:pPr>
        <w:spacing w:after="0"/>
        <w:ind w:left="360"/>
        <w:rPr>
          <w:rFonts w:ascii="Arial" w:hAnsi="Arial" w:cs="Arial"/>
        </w:rPr>
      </w:pPr>
      <w:r w:rsidRPr="001A4317">
        <w:rPr>
          <w:rFonts w:ascii="Arial" w:hAnsi="Arial" w:cs="Arial"/>
        </w:rPr>
        <w:t>2. Neuroticism has been indicated to negatively influence the perception of symptoms and wellbeing in RA.</w:t>
      </w:r>
    </w:p>
    <w:p w14:paraId="7EB34981" w14:textId="77777777" w:rsidR="001A4317" w:rsidRPr="001A4317" w:rsidRDefault="001A4317" w:rsidP="001A4317">
      <w:pPr>
        <w:spacing w:after="0"/>
        <w:ind w:left="360"/>
        <w:rPr>
          <w:rFonts w:ascii="Arial" w:hAnsi="Arial" w:cs="Arial"/>
        </w:rPr>
      </w:pPr>
      <w:r w:rsidRPr="001A4317">
        <w:rPr>
          <w:rFonts w:ascii="Arial" w:hAnsi="Arial" w:cs="Arial"/>
        </w:rPr>
        <w:lastRenderedPageBreak/>
        <w:t>3. Patients with a self- sacrificing defence style such as Janet may be particularly vulnerable to experience more symptoms.</w:t>
      </w:r>
    </w:p>
    <w:p w14:paraId="3F17D2CC" w14:textId="77777777" w:rsidR="001A4317" w:rsidRPr="001A4317" w:rsidRDefault="001A4317" w:rsidP="001A4317">
      <w:pPr>
        <w:spacing w:line="360" w:lineRule="auto"/>
        <w:contextualSpacing/>
        <w:rPr>
          <w:rFonts w:ascii="Arial" w:hAnsi="Arial" w:cs="Arial"/>
          <w:b/>
        </w:rPr>
      </w:pPr>
    </w:p>
    <w:p w14:paraId="0FFEBC8C" w14:textId="77777777" w:rsidR="001A4317" w:rsidRPr="001A4317" w:rsidRDefault="001A4317" w:rsidP="001A4317">
      <w:pPr>
        <w:keepNext/>
        <w:keepLines/>
        <w:spacing w:before="40" w:after="0"/>
        <w:outlineLvl w:val="3"/>
        <w:rPr>
          <w:rFonts w:ascii="Arial" w:eastAsiaTheme="majorEastAsia" w:hAnsi="Arial" w:cs="Arial"/>
          <w:i/>
          <w:iCs/>
          <w:color w:val="2F5496" w:themeColor="accent1" w:themeShade="BF"/>
          <w:sz w:val="22"/>
          <w:szCs w:val="22"/>
        </w:rPr>
      </w:pPr>
      <w:r w:rsidRPr="001A4317">
        <w:rPr>
          <w:rFonts w:ascii="Arial" w:eastAsiaTheme="majorEastAsia" w:hAnsi="Arial" w:cs="Arial"/>
          <w:i/>
          <w:iCs/>
          <w:color w:val="2F5496" w:themeColor="accent1" w:themeShade="BF"/>
          <w:sz w:val="22"/>
          <w:szCs w:val="22"/>
        </w:rPr>
        <w:t xml:space="preserve">Feedback: </w:t>
      </w:r>
    </w:p>
    <w:p w14:paraId="3A93F192" w14:textId="77777777" w:rsidR="001A4317" w:rsidRPr="001A4317" w:rsidRDefault="001A4317" w:rsidP="001A4317">
      <w:pPr>
        <w:numPr>
          <w:ilvl w:val="0"/>
          <w:numId w:val="5"/>
        </w:numPr>
        <w:spacing w:after="120" w:line="240" w:lineRule="auto"/>
        <w:contextualSpacing/>
        <w:rPr>
          <w:rFonts w:ascii="Arial" w:hAnsi="Arial" w:cs="Arial"/>
        </w:rPr>
      </w:pPr>
      <w:r w:rsidRPr="001A4317">
        <w:rPr>
          <w:rFonts w:ascii="Arial" w:hAnsi="Arial" w:cs="Arial"/>
        </w:rPr>
        <w:t>Wrong answer. There is no evidence for personality factors in the aetiology of RA.</w:t>
      </w:r>
    </w:p>
    <w:p w14:paraId="58A7360B" w14:textId="77777777" w:rsidR="001A4317" w:rsidRPr="001A4317" w:rsidRDefault="001A4317" w:rsidP="001A4317">
      <w:pPr>
        <w:numPr>
          <w:ilvl w:val="0"/>
          <w:numId w:val="5"/>
        </w:numPr>
        <w:spacing w:after="120" w:line="240" w:lineRule="auto"/>
        <w:contextualSpacing/>
        <w:rPr>
          <w:rFonts w:ascii="Arial" w:hAnsi="Arial" w:cs="Arial"/>
        </w:rPr>
      </w:pPr>
      <w:r w:rsidRPr="001A4317">
        <w:rPr>
          <w:rFonts w:ascii="Arial" w:hAnsi="Arial" w:cs="Arial"/>
        </w:rPr>
        <w:t>Correct answer. Patients with high neuroticism scores may report more discomfort associated with symptoms than other patients.</w:t>
      </w:r>
    </w:p>
    <w:p w14:paraId="21D13331" w14:textId="77777777" w:rsidR="001A4317" w:rsidRPr="001A4317" w:rsidRDefault="001A4317" w:rsidP="001A4317">
      <w:pPr>
        <w:numPr>
          <w:ilvl w:val="0"/>
          <w:numId w:val="5"/>
        </w:numPr>
        <w:spacing w:after="120" w:line="240" w:lineRule="auto"/>
        <w:contextualSpacing/>
        <w:rPr>
          <w:rFonts w:ascii="Arial" w:hAnsi="Arial" w:cs="Arial"/>
        </w:rPr>
      </w:pPr>
      <w:r w:rsidRPr="001A4317">
        <w:rPr>
          <w:rFonts w:ascii="Arial" w:hAnsi="Arial" w:cs="Arial"/>
        </w:rPr>
        <w:t>Correct answer. Patients with a self- sacrificing defence style report more severe symptoms.</w:t>
      </w:r>
    </w:p>
    <w:p w14:paraId="71A5A78E" w14:textId="77777777" w:rsidR="001A4317" w:rsidRPr="001A4317" w:rsidRDefault="001A4317" w:rsidP="001A4317">
      <w:pPr>
        <w:numPr>
          <w:ilvl w:val="0"/>
          <w:numId w:val="5"/>
        </w:numPr>
        <w:spacing w:after="120" w:line="240" w:lineRule="auto"/>
        <w:contextualSpacing/>
        <w:rPr>
          <w:rFonts w:ascii="Arial" w:hAnsi="Arial" w:cs="Arial"/>
        </w:rPr>
      </w:pPr>
      <w:r w:rsidRPr="001A4317">
        <w:rPr>
          <w:rFonts w:ascii="Arial" w:hAnsi="Arial" w:cs="Arial"/>
        </w:rPr>
        <w:t>Wrong answer. RA was by some clinicians, such as Franz Alexander, characterised as a psychosomatic disease in the 1950s. The emphasis on personality as an etiological factor in RA has decreased over the years, but there is an increased evidence of the significance of psychological factors in how well patients cope with the disease.</w:t>
      </w:r>
    </w:p>
    <w:p w14:paraId="7B19DABC" w14:textId="77777777" w:rsidR="001A4317" w:rsidRPr="001A4317" w:rsidRDefault="001A4317" w:rsidP="001A4317">
      <w:pPr>
        <w:numPr>
          <w:ilvl w:val="0"/>
          <w:numId w:val="5"/>
        </w:numPr>
        <w:spacing w:after="120" w:line="240" w:lineRule="auto"/>
        <w:contextualSpacing/>
        <w:rPr>
          <w:rFonts w:ascii="Arial" w:hAnsi="Arial" w:cs="Arial"/>
        </w:rPr>
      </w:pPr>
      <w:r w:rsidRPr="001A4317">
        <w:rPr>
          <w:rFonts w:ascii="Arial" w:hAnsi="Arial" w:cs="Arial"/>
        </w:rPr>
        <w:t>The “Arthritis Personality” concept was popular in the 1950s and 60s, but the concept has limited empirical support.</w:t>
      </w:r>
    </w:p>
    <w:p w14:paraId="29E94AB8" w14:textId="77777777" w:rsidR="001A4317" w:rsidRPr="001A4317" w:rsidRDefault="001A4317" w:rsidP="001A4317">
      <w:pPr>
        <w:numPr>
          <w:ilvl w:val="0"/>
          <w:numId w:val="5"/>
        </w:numPr>
        <w:spacing w:after="120" w:line="240" w:lineRule="auto"/>
        <w:contextualSpacing/>
        <w:rPr>
          <w:rFonts w:ascii="Arial" w:hAnsi="Arial" w:cs="Arial"/>
        </w:rPr>
      </w:pPr>
      <w:r w:rsidRPr="001A4317">
        <w:rPr>
          <w:rFonts w:ascii="Arial" w:hAnsi="Arial" w:cs="Arial"/>
        </w:rPr>
        <w:t>Wrong answer. Personality of patients with RA is on average comparable to personality of people in the general population.</w:t>
      </w:r>
    </w:p>
    <w:p w14:paraId="75E44863" w14:textId="77777777" w:rsidR="001A4317" w:rsidRPr="001A4317" w:rsidRDefault="001A4317" w:rsidP="001A4317">
      <w:pPr>
        <w:numPr>
          <w:ilvl w:val="0"/>
          <w:numId w:val="5"/>
        </w:numPr>
        <w:spacing w:after="120" w:line="240" w:lineRule="auto"/>
        <w:contextualSpacing/>
        <w:rPr>
          <w:rFonts w:ascii="Arial" w:hAnsi="Arial" w:cs="Arial"/>
        </w:rPr>
      </w:pPr>
      <w:r w:rsidRPr="001A4317">
        <w:rPr>
          <w:rFonts w:ascii="Arial" w:hAnsi="Arial" w:cs="Arial"/>
        </w:rPr>
        <w:t>Wrong answer. Personality of patients with RA is on average comparable to personality of people in the general population.</w:t>
      </w:r>
    </w:p>
    <w:p w14:paraId="51B9EC1C" w14:textId="77777777" w:rsidR="001A4317" w:rsidRPr="001A4317" w:rsidRDefault="001A4317" w:rsidP="001A4317">
      <w:pPr>
        <w:spacing w:after="206" w:line="268" w:lineRule="auto"/>
        <w:ind w:left="-5" w:hanging="10"/>
        <w:rPr>
          <w:rFonts w:ascii="Arial" w:eastAsia="Calibri" w:hAnsi="Arial" w:cs="Arial"/>
          <w:lang w:eastAsia="en-GB"/>
        </w:rPr>
      </w:pPr>
    </w:p>
    <w:p w14:paraId="64A3C89C" w14:textId="77777777" w:rsidR="001A4317" w:rsidRPr="001A4317" w:rsidRDefault="001A4317" w:rsidP="001A4317">
      <w:pPr>
        <w:keepNext/>
        <w:keepLines/>
        <w:spacing w:before="40" w:after="0"/>
        <w:outlineLvl w:val="1"/>
        <w:rPr>
          <w:rFonts w:ascii="Arial" w:eastAsia="Arial" w:hAnsi="Arial" w:cs="Arial"/>
          <w:color w:val="2F5496" w:themeColor="accent1" w:themeShade="BF"/>
          <w:sz w:val="26"/>
          <w:szCs w:val="26"/>
          <w:lang w:eastAsia="en-GB"/>
        </w:rPr>
      </w:pPr>
      <w:bookmarkStart w:id="12" w:name="_Toc5957131"/>
      <w:bookmarkStart w:id="13" w:name="_Toc6231404"/>
      <w:r w:rsidRPr="001A4317">
        <w:rPr>
          <w:rFonts w:ascii="Arial" w:eastAsia="Arial" w:hAnsi="Arial" w:cs="Arial"/>
          <w:color w:val="2F5496" w:themeColor="accent1" w:themeShade="BF"/>
          <w:sz w:val="26"/>
          <w:szCs w:val="26"/>
          <w:u w:color="5F5F5F"/>
          <w:lang w:eastAsia="en-GB"/>
        </w:rPr>
        <w:t>Extended Matching</w:t>
      </w:r>
      <w:bookmarkEnd w:id="12"/>
      <w:bookmarkEnd w:id="13"/>
      <w:r w:rsidRPr="001A4317">
        <w:rPr>
          <w:rFonts w:ascii="Arial" w:eastAsia="Arial" w:hAnsi="Arial" w:cs="Arial"/>
          <w:color w:val="2F5496" w:themeColor="accent1" w:themeShade="BF"/>
          <w:sz w:val="26"/>
          <w:szCs w:val="26"/>
          <w:lang w:eastAsia="en-GB"/>
        </w:rPr>
        <w:t xml:space="preserve"> </w:t>
      </w:r>
    </w:p>
    <w:p w14:paraId="7A53EBB9" w14:textId="77777777" w:rsidR="001A4317" w:rsidRPr="001A4317" w:rsidRDefault="001A4317" w:rsidP="001A4317">
      <w:pPr>
        <w:spacing w:after="218"/>
        <w:rPr>
          <w:rFonts w:ascii="Arial" w:eastAsia="Arial" w:hAnsi="Arial" w:cs="Arial"/>
          <w:lang w:eastAsia="en-GB"/>
        </w:rPr>
      </w:pPr>
      <w:r w:rsidRPr="001A4317">
        <w:rPr>
          <w:rFonts w:ascii="Arial" w:eastAsia="Arial" w:hAnsi="Arial" w:cs="Arial"/>
          <w:lang w:eastAsia="en-GB"/>
        </w:rPr>
        <w:t>Extended matching questions involve matching elements of a shorter list (3 – 5 options) with elements of a longer list (7-9).  Usually the longer list consists of drugs, named diseases, conditions, diagnoses, treatments, etc., and the shorter list consists of presenting features or clinical case descriptions. The longer list should be at least twice as long as the shorter list.</w:t>
      </w:r>
    </w:p>
    <w:p w14:paraId="00871D5C" w14:textId="77777777" w:rsidR="001A4317" w:rsidRPr="001A4317" w:rsidRDefault="001A4317" w:rsidP="001A4317">
      <w:pPr>
        <w:spacing w:after="218"/>
        <w:rPr>
          <w:rFonts w:ascii="Arial" w:eastAsia="Calibri" w:hAnsi="Arial" w:cs="Arial"/>
          <w:lang w:eastAsia="en-GB"/>
        </w:rPr>
      </w:pPr>
      <w:r w:rsidRPr="001A4317">
        <w:rPr>
          <w:rFonts w:ascii="Arial" w:eastAsia="Arial" w:hAnsi="Arial" w:cs="Arial"/>
          <w:lang w:eastAsia="en-GB"/>
        </w:rPr>
        <w:t>This is an excellent format for flexibility in testing knowledge using the minimum of words and new questions from the examiner and relates closely to the clinical context.  Highly recommended!</w:t>
      </w:r>
    </w:p>
    <w:p w14:paraId="5A7DFD5B" w14:textId="77777777" w:rsidR="001A4317" w:rsidRPr="001A4317" w:rsidRDefault="001A4317" w:rsidP="001A4317">
      <w:pPr>
        <w:keepNext/>
        <w:keepLines/>
        <w:spacing w:before="40" w:after="0"/>
        <w:outlineLvl w:val="2"/>
        <w:rPr>
          <w:rFonts w:ascii="Arial" w:eastAsia="Calibri" w:hAnsi="Arial" w:cs="Arial"/>
          <w:color w:val="1F3763" w:themeColor="accent1" w:themeShade="7F"/>
          <w:lang w:eastAsia="en-GB"/>
        </w:rPr>
      </w:pPr>
      <w:bookmarkStart w:id="14" w:name="_Toc5957132"/>
      <w:bookmarkStart w:id="15" w:name="_Toc6231405"/>
      <w:r w:rsidRPr="001A4317">
        <w:rPr>
          <w:rFonts w:ascii="Arial" w:eastAsia="Arial" w:hAnsi="Arial" w:cs="Arial"/>
          <w:color w:val="1F3763" w:themeColor="accent1" w:themeShade="7F"/>
          <w:lang w:eastAsia="en-GB"/>
        </w:rPr>
        <w:t>EMQ Example 1</w:t>
      </w:r>
      <w:bookmarkEnd w:id="14"/>
      <w:bookmarkEnd w:id="15"/>
    </w:p>
    <w:p w14:paraId="2E6D68F9" w14:textId="77777777" w:rsidR="001A4317" w:rsidRPr="001A4317" w:rsidRDefault="001A4317" w:rsidP="001A4317">
      <w:pPr>
        <w:spacing w:after="211" w:line="271" w:lineRule="auto"/>
        <w:ind w:left="-5" w:hanging="10"/>
        <w:rPr>
          <w:rFonts w:ascii="Arial" w:eastAsia="Calibri" w:hAnsi="Arial" w:cs="Arial"/>
          <w:b/>
          <w:lang w:eastAsia="en-GB"/>
        </w:rPr>
      </w:pPr>
      <w:r w:rsidRPr="001A4317">
        <w:rPr>
          <w:rFonts w:ascii="Arial" w:eastAsia="Arial" w:hAnsi="Arial" w:cs="Arial"/>
          <w:b/>
          <w:lang w:eastAsia="en-GB"/>
        </w:rPr>
        <w:t xml:space="preserve">The following patients all have arthritis. Select the most appropriate diagnosis of arthropathies in cases A, B, C associated with characteristic patterns of joint involvement (1-9) from the list below. </w:t>
      </w:r>
    </w:p>
    <w:p w14:paraId="3660E064" w14:textId="77777777" w:rsidR="001A4317" w:rsidRPr="001A4317" w:rsidRDefault="001A4317" w:rsidP="001A4317">
      <w:pPr>
        <w:numPr>
          <w:ilvl w:val="0"/>
          <w:numId w:val="1"/>
        </w:numPr>
        <w:spacing w:after="218"/>
        <w:contextualSpacing/>
        <w:rPr>
          <w:rFonts w:ascii="Arial" w:eastAsia="Arial" w:hAnsi="Arial" w:cs="Arial"/>
          <w:lang w:eastAsia="en-GB"/>
        </w:rPr>
      </w:pPr>
      <w:r w:rsidRPr="001A4317">
        <w:rPr>
          <w:rFonts w:ascii="Arial" w:eastAsia="Arial" w:hAnsi="Arial" w:cs="Arial"/>
          <w:lang w:eastAsia="en-GB"/>
        </w:rPr>
        <w:t xml:space="preserve">psoriatic arthritis </w:t>
      </w:r>
    </w:p>
    <w:p w14:paraId="3D8D1E31" w14:textId="77777777" w:rsidR="001A4317" w:rsidRPr="001A4317" w:rsidRDefault="001A4317" w:rsidP="001A4317">
      <w:pPr>
        <w:numPr>
          <w:ilvl w:val="0"/>
          <w:numId w:val="1"/>
        </w:numPr>
        <w:spacing w:after="218"/>
        <w:contextualSpacing/>
        <w:rPr>
          <w:rFonts w:ascii="Arial" w:eastAsia="Arial" w:hAnsi="Arial" w:cs="Arial"/>
          <w:lang w:eastAsia="en-GB"/>
        </w:rPr>
      </w:pPr>
      <w:r w:rsidRPr="001A4317">
        <w:rPr>
          <w:rFonts w:ascii="Arial" w:eastAsia="Arial" w:hAnsi="Arial" w:cs="Arial"/>
          <w:lang w:eastAsia="en-GB"/>
        </w:rPr>
        <w:t xml:space="preserve">rheumatoid arthritis </w:t>
      </w:r>
    </w:p>
    <w:p w14:paraId="69CC0AAD" w14:textId="77777777" w:rsidR="001A4317" w:rsidRPr="001A4317" w:rsidRDefault="001A4317" w:rsidP="001A4317">
      <w:pPr>
        <w:numPr>
          <w:ilvl w:val="0"/>
          <w:numId w:val="1"/>
        </w:numPr>
        <w:spacing w:after="218"/>
        <w:contextualSpacing/>
        <w:rPr>
          <w:rFonts w:ascii="Arial" w:eastAsia="Arial" w:hAnsi="Arial" w:cs="Arial"/>
          <w:lang w:eastAsia="en-GB"/>
        </w:rPr>
      </w:pPr>
      <w:r w:rsidRPr="001A4317">
        <w:rPr>
          <w:rFonts w:ascii="Arial" w:eastAsia="Arial" w:hAnsi="Arial" w:cs="Arial"/>
          <w:lang w:eastAsia="en-GB"/>
        </w:rPr>
        <w:t xml:space="preserve">haemochromatosis </w:t>
      </w:r>
    </w:p>
    <w:p w14:paraId="53C2769F" w14:textId="77777777" w:rsidR="001A4317" w:rsidRPr="001A4317" w:rsidRDefault="001A4317" w:rsidP="001A4317">
      <w:pPr>
        <w:numPr>
          <w:ilvl w:val="0"/>
          <w:numId w:val="1"/>
        </w:numPr>
        <w:spacing w:after="218"/>
        <w:contextualSpacing/>
        <w:rPr>
          <w:rFonts w:ascii="Arial" w:eastAsia="Arial" w:hAnsi="Arial" w:cs="Arial"/>
          <w:lang w:eastAsia="en-GB"/>
        </w:rPr>
      </w:pPr>
      <w:r w:rsidRPr="001A4317">
        <w:rPr>
          <w:rFonts w:ascii="Arial" w:eastAsia="Arial" w:hAnsi="Arial" w:cs="Arial"/>
          <w:lang w:eastAsia="en-GB"/>
        </w:rPr>
        <w:t xml:space="preserve">chronic tophaceous gout </w:t>
      </w:r>
    </w:p>
    <w:p w14:paraId="664DA18D" w14:textId="77777777" w:rsidR="001A4317" w:rsidRPr="001A4317" w:rsidRDefault="001A4317" w:rsidP="001A4317">
      <w:pPr>
        <w:numPr>
          <w:ilvl w:val="0"/>
          <w:numId w:val="1"/>
        </w:numPr>
        <w:spacing w:after="218"/>
        <w:contextualSpacing/>
        <w:rPr>
          <w:rFonts w:ascii="Arial" w:eastAsia="Arial" w:hAnsi="Arial" w:cs="Arial"/>
          <w:lang w:eastAsia="en-GB"/>
        </w:rPr>
      </w:pPr>
      <w:r w:rsidRPr="001A4317">
        <w:rPr>
          <w:rFonts w:ascii="Arial" w:eastAsia="Arial" w:hAnsi="Arial" w:cs="Arial"/>
          <w:lang w:eastAsia="en-GB"/>
        </w:rPr>
        <w:t xml:space="preserve">ankylosing  spondylitis </w:t>
      </w:r>
    </w:p>
    <w:p w14:paraId="4B3B9EB9" w14:textId="77777777" w:rsidR="001A4317" w:rsidRPr="001A4317" w:rsidRDefault="001A4317" w:rsidP="001A4317">
      <w:pPr>
        <w:numPr>
          <w:ilvl w:val="0"/>
          <w:numId w:val="1"/>
        </w:numPr>
        <w:spacing w:after="218"/>
        <w:contextualSpacing/>
        <w:rPr>
          <w:rFonts w:ascii="Arial" w:eastAsia="Arial" w:hAnsi="Arial" w:cs="Arial"/>
          <w:lang w:eastAsia="en-GB"/>
        </w:rPr>
      </w:pPr>
      <w:r w:rsidRPr="001A4317">
        <w:rPr>
          <w:rFonts w:ascii="Arial" w:eastAsia="Arial" w:hAnsi="Arial" w:cs="Arial"/>
          <w:lang w:eastAsia="en-GB"/>
        </w:rPr>
        <w:t xml:space="preserve">nodal generalised osteoarthritis </w:t>
      </w:r>
    </w:p>
    <w:p w14:paraId="49450CC0" w14:textId="77777777" w:rsidR="001A4317" w:rsidRPr="001A4317" w:rsidRDefault="001A4317" w:rsidP="001A4317">
      <w:pPr>
        <w:numPr>
          <w:ilvl w:val="0"/>
          <w:numId w:val="1"/>
        </w:numPr>
        <w:spacing w:after="218"/>
        <w:contextualSpacing/>
        <w:rPr>
          <w:rFonts w:ascii="Arial" w:eastAsia="Arial" w:hAnsi="Arial" w:cs="Arial"/>
          <w:lang w:eastAsia="en-GB"/>
        </w:rPr>
      </w:pPr>
      <w:r w:rsidRPr="001A4317">
        <w:rPr>
          <w:rFonts w:ascii="Arial" w:eastAsia="Arial" w:hAnsi="Arial" w:cs="Arial"/>
          <w:lang w:eastAsia="en-GB"/>
        </w:rPr>
        <w:t xml:space="preserve">pyrophosphate arthropathy </w:t>
      </w:r>
    </w:p>
    <w:p w14:paraId="79071104" w14:textId="77777777" w:rsidR="001A4317" w:rsidRPr="001A4317" w:rsidRDefault="001A4317" w:rsidP="001A4317">
      <w:pPr>
        <w:numPr>
          <w:ilvl w:val="0"/>
          <w:numId w:val="1"/>
        </w:numPr>
        <w:spacing w:after="218"/>
        <w:contextualSpacing/>
        <w:rPr>
          <w:rFonts w:ascii="Arial" w:eastAsia="Arial" w:hAnsi="Arial" w:cs="Arial"/>
          <w:lang w:eastAsia="en-GB"/>
        </w:rPr>
      </w:pPr>
      <w:r w:rsidRPr="001A4317">
        <w:rPr>
          <w:rFonts w:ascii="Arial" w:eastAsia="Arial" w:hAnsi="Arial" w:cs="Arial"/>
          <w:lang w:eastAsia="en-GB"/>
        </w:rPr>
        <w:t xml:space="preserve">neuropathic (Charcot) arthropathy </w:t>
      </w:r>
    </w:p>
    <w:p w14:paraId="1F24BC8B" w14:textId="77777777" w:rsidR="001A4317" w:rsidRPr="001A4317" w:rsidRDefault="001A4317" w:rsidP="001A4317">
      <w:pPr>
        <w:numPr>
          <w:ilvl w:val="0"/>
          <w:numId w:val="1"/>
        </w:numPr>
        <w:spacing w:after="218"/>
        <w:contextualSpacing/>
        <w:rPr>
          <w:rFonts w:ascii="Arial" w:eastAsia="Arial" w:hAnsi="Arial" w:cs="Arial"/>
          <w:lang w:eastAsia="en-GB"/>
        </w:rPr>
      </w:pPr>
      <w:r w:rsidRPr="001A4317">
        <w:rPr>
          <w:rFonts w:ascii="Arial" w:eastAsia="Arial" w:hAnsi="Arial" w:cs="Arial"/>
          <w:lang w:eastAsia="en-GB"/>
        </w:rPr>
        <w:t xml:space="preserve">reactive arthritis </w:t>
      </w:r>
    </w:p>
    <w:p w14:paraId="5F61DE29" w14:textId="77777777" w:rsidR="001A4317" w:rsidRPr="001A4317" w:rsidRDefault="001A4317" w:rsidP="001A4317">
      <w:pPr>
        <w:spacing w:after="223"/>
        <w:rPr>
          <w:rFonts w:ascii="Arial" w:eastAsia="Calibri" w:hAnsi="Arial" w:cs="Arial"/>
          <w:lang w:eastAsia="en-GB"/>
        </w:rPr>
      </w:pPr>
      <w:r w:rsidRPr="001A4317">
        <w:rPr>
          <w:rFonts w:ascii="Arial" w:eastAsia="Arial" w:hAnsi="Arial" w:cs="Arial"/>
          <w:b/>
          <w:lang w:eastAsia="en-GB"/>
        </w:rPr>
        <w:lastRenderedPageBreak/>
        <w:t xml:space="preserve">A. </w:t>
      </w:r>
    </w:p>
    <w:p w14:paraId="4894B78A" w14:textId="77777777" w:rsidR="001A4317" w:rsidRPr="001A4317" w:rsidRDefault="001A4317" w:rsidP="001A4317">
      <w:pPr>
        <w:spacing w:after="211" w:line="271" w:lineRule="auto"/>
        <w:ind w:left="-5" w:hanging="10"/>
        <w:rPr>
          <w:rFonts w:ascii="Arial" w:eastAsia="Calibri" w:hAnsi="Arial" w:cs="Arial"/>
          <w:lang w:eastAsia="en-GB"/>
        </w:rPr>
      </w:pPr>
      <w:r w:rsidRPr="001A4317">
        <w:rPr>
          <w:rFonts w:ascii="Arial" w:eastAsia="Arial" w:hAnsi="Arial" w:cs="Arial"/>
          <w:lang w:eastAsia="en-GB"/>
        </w:rPr>
        <w:t xml:space="preserve">A 65-year-old man developed relapsing attacks of acute arthritis in his forties, initially affecting his forefoot, midfoot or ankle. Over many years they became more frequent and spread to also involve his knees and hands. Each episode affects just one joint, develops within hours, causes severe pain and swelling, and lasts 1-2 weeks. In the last 15 years he has also developed chronic pain and stiffness of his forefeet, ankles, knees, fingers, wrists and elbows. He has swellings over his hands, elbows and knees.    </w:t>
      </w:r>
    </w:p>
    <w:p w14:paraId="0C521183" w14:textId="77777777" w:rsidR="001A4317" w:rsidRPr="001A4317" w:rsidRDefault="001A4317" w:rsidP="001A4317">
      <w:pPr>
        <w:spacing w:after="223"/>
        <w:ind w:left="3551" w:hanging="10"/>
        <w:rPr>
          <w:rFonts w:ascii="Arial" w:eastAsia="Calibri" w:hAnsi="Arial" w:cs="Arial"/>
          <w:lang w:eastAsia="en-GB"/>
        </w:rPr>
      </w:pPr>
      <w:r w:rsidRPr="001A4317">
        <w:rPr>
          <w:rFonts w:ascii="Arial" w:eastAsia="Arial" w:hAnsi="Arial" w:cs="Arial"/>
          <w:b/>
          <w:lang w:eastAsia="en-GB"/>
        </w:rPr>
        <w:t>[ 4 ]</w:t>
      </w:r>
      <w:r w:rsidRPr="001A4317">
        <w:rPr>
          <w:rFonts w:ascii="Arial" w:eastAsia="Arial" w:hAnsi="Arial" w:cs="Arial"/>
          <w:lang w:eastAsia="en-GB"/>
        </w:rPr>
        <w:t xml:space="preserve"> </w:t>
      </w:r>
    </w:p>
    <w:p w14:paraId="4376830A" w14:textId="77777777" w:rsidR="001A4317" w:rsidRPr="001A4317" w:rsidRDefault="001A4317" w:rsidP="001A4317">
      <w:pPr>
        <w:spacing w:after="223"/>
        <w:ind w:left="-5" w:hanging="10"/>
        <w:rPr>
          <w:rFonts w:ascii="Arial" w:eastAsia="Calibri" w:hAnsi="Arial" w:cs="Arial"/>
          <w:lang w:eastAsia="en-GB"/>
        </w:rPr>
      </w:pPr>
      <w:r w:rsidRPr="001A4317">
        <w:rPr>
          <w:rFonts w:ascii="Arial" w:eastAsia="Arial" w:hAnsi="Arial" w:cs="Arial"/>
          <w:b/>
          <w:lang w:eastAsia="en-GB"/>
        </w:rPr>
        <w:t xml:space="preserve">B. </w:t>
      </w:r>
    </w:p>
    <w:p w14:paraId="348DF62B" w14:textId="40F9884E" w:rsidR="001A4317" w:rsidRPr="001A4317" w:rsidRDefault="001A4317" w:rsidP="001A4317">
      <w:pPr>
        <w:spacing w:after="211" w:line="271" w:lineRule="auto"/>
        <w:ind w:left="-5" w:hanging="10"/>
        <w:rPr>
          <w:rFonts w:ascii="Arial" w:eastAsia="Calibri" w:hAnsi="Arial" w:cs="Arial"/>
          <w:lang w:eastAsia="en-GB"/>
        </w:rPr>
      </w:pPr>
      <w:r w:rsidRPr="001A4317">
        <w:rPr>
          <w:rFonts w:ascii="Arial" w:eastAsia="Arial" w:hAnsi="Arial" w:cs="Arial"/>
          <w:lang w:eastAsia="en-GB"/>
        </w:rPr>
        <w:t xml:space="preserve">Over a 2-week period a 22-year-old woman developed pain, stiffness and swelling of her right knee, left ankle and big toe. She has right knee synovitis, synovitis and periarticular swelling of her left ankle and midfoot and synovitis of her big-toe interphalangeal joint. The only other abnormalities are two large (painless) buccal ulcers.    </w:t>
      </w:r>
      <w:r w:rsidRPr="001A4317">
        <w:rPr>
          <w:rFonts w:ascii="Arial" w:eastAsia="Arial" w:hAnsi="Arial" w:cs="Arial"/>
          <w:lang w:eastAsia="en-GB"/>
        </w:rPr>
        <w:tab/>
        <w:t xml:space="preserve"> </w:t>
      </w:r>
      <w:r w:rsidRPr="001A4317">
        <w:rPr>
          <w:rFonts w:ascii="Arial" w:eastAsia="Arial" w:hAnsi="Arial" w:cs="Arial"/>
          <w:lang w:eastAsia="en-GB"/>
        </w:rPr>
        <w:tab/>
      </w:r>
      <w:r w:rsidRPr="001A4317">
        <w:rPr>
          <w:rFonts w:ascii="Arial" w:eastAsia="Arial" w:hAnsi="Arial" w:cs="Arial"/>
          <w:b/>
          <w:lang w:eastAsia="en-GB"/>
        </w:rPr>
        <w:t>[ 9</w:t>
      </w:r>
      <w:r w:rsidR="00810CFF">
        <w:rPr>
          <w:rFonts w:ascii="Arial" w:eastAsia="Arial" w:hAnsi="Arial" w:cs="Arial"/>
          <w:b/>
          <w:lang w:eastAsia="en-GB"/>
        </w:rPr>
        <w:t xml:space="preserve"> </w:t>
      </w:r>
      <w:r w:rsidRPr="001A4317">
        <w:rPr>
          <w:rFonts w:ascii="Arial" w:eastAsia="Arial" w:hAnsi="Arial" w:cs="Arial"/>
          <w:b/>
          <w:lang w:eastAsia="en-GB"/>
        </w:rPr>
        <w:t>]</w:t>
      </w:r>
      <w:r w:rsidRPr="001A4317">
        <w:rPr>
          <w:rFonts w:ascii="Arial" w:eastAsia="Arial" w:hAnsi="Arial" w:cs="Arial"/>
          <w:lang w:eastAsia="en-GB"/>
        </w:rPr>
        <w:t xml:space="preserve"> </w:t>
      </w:r>
    </w:p>
    <w:p w14:paraId="452999CD" w14:textId="77777777" w:rsidR="001A4317" w:rsidRPr="001A4317" w:rsidRDefault="001A4317" w:rsidP="001A4317">
      <w:pPr>
        <w:spacing w:after="223"/>
        <w:ind w:left="-5" w:hanging="10"/>
        <w:rPr>
          <w:rFonts w:ascii="Arial" w:eastAsia="Calibri" w:hAnsi="Arial" w:cs="Arial"/>
          <w:lang w:eastAsia="en-GB"/>
        </w:rPr>
      </w:pPr>
      <w:r w:rsidRPr="001A4317">
        <w:rPr>
          <w:rFonts w:ascii="Arial" w:eastAsia="Arial" w:hAnsi="Arial" w:cs="Arial"/>
          <w:b/>
          <w:lang w:eastAsia="en-GB"/>
        </w:rPr>
        <w:t xml:space="preserve">C </w:t>
      </w:r>
    </w:p>
    <w:p w14:paraId="67FE2091" w14:textId="77777777" w:rsidR="001A4317" w:rsidRPr="001A4317" w:rsidRDefault="001A4317" w:rsidP="001A4317">
      <w:pPr>
        <w:spacing w:after="9" w:line="271" w:lineRule="auto"/>
        <w:ind w:left="-5" w:hanging="10"/>
        <w:rPr>
          <w:rFonts w:ascii="Arial" w:eastAsia="Calibri" w:hAnsi="Arial" w:cs="Arial"/>
          <w:lang w:eastAsia="en-GB"/>
        </w:rPr>
      </w:pPr>
      <w:r w:rsidRPr="001A4317">
        <w:rPr>
          <w:rFonts w:ascii="Arial" w:eastAsia="Arial" w:hAnsi="Arial" w:cs="Arial"/>
          <w:lang w:eastAsia="en-GB"/>
        </w:rPr>
        <w:t xml:space="preserve">A 37-year-old woman gives a 6-month history of pain and stiffness affecting several finger proximal interphalangeal and metacarpophalangeal joints, both wrists, both elbows, left knee, and both forefeet. She has several hours of early morning stiffness, has lost 6kg in weight and feels tired. She has synovitis of her symptomatic hand joints, wrists, elbows and knees. There are no extra-articular signs. </w:t>
      </w:r>
      <w:r w:rsidRPr="001A4317">
        <w:rPr>
          <w:rFonts w:ascii="Arial" w:eastAsia="Arial" w:hAnsi="Arial" w:cs="Arial"/>
          <w:lang w:eastAsia="en-GB"/>
        </w:rPr>
        <w:tab/>
        <w:t xml:space="preserve"> </w:t>
      </w:r>
      <w:r w:rsidRPr="001A4317">
        <w:rPr>
          <w:rFonts w:ascii="Arial" w:eastAsia="Arial" w:hAnsi="Arial" w:cs="Arial"/>
          <w:lang w:eastAsia="en-GB"/>
        </w:rPr>
        <w:tab/>
        <w:t xml:space="preserve"> </w:t>
      </w:r>
    </w:p>
    <w:p w14:paraId="1B344560" w14:textId="77777777" w:rsidR="001A4317" w:rsidRPr="001A4317" w:rsidRDefault="001A4317" w:rsidP="001A4317">
      <w:pPr>
        <w:tabs>
          <w:tab w:val="center" w:pos="720"/>
          <w:tab w:val="center" w:pos="1440"/>
          <w:tab w:val="center" w:pos="2160"/>
          <w:tab w:val="center" w:pos="3091"/>
        </w:tabs>
        <w:spacing w:after="223"/>
        <w:ind w:left="-15"/>
        <w:rPr>
          <w:rFonts w:ascii="Arial" w:eastAsia="Calibri" w:hAnsi="Arial" w:cs="Arial"/>
          <w:i/>
          <w:lang w:eastAsia="en-GB"/>
        </w:rPr>
      </w:pPr>
      <w:r w:rsidRPr="001A4317">
        <w:rPr>
          <w:rFonts w:ascii="Arial" w:eastAsia="Arial" w:hAnsi="Arial" w:cs="Arial"/>
          <w:i/>
          <w:lang w:eastAsia="en-GB"/>
        </w:rPr>
        <w:t xml:space="preserve"> </w:t>
      </w:r>
      <w:r w:rsidRPr="001A4317">
        <w:rPr>
          <w:rFonts w:ascii="Arial" w:eastAsia="Arial" w:hAnsi="Arial" w:cs="Arial"/>
          <w:i/>
          <w:lang w:eastAsia="en-GB"/>
        </w:rPr>
        <w:tab/>
        <w:t xml:space="preserve"> </w:t>
      </w:r>
      <w:r w:rsidRPr="001A4317">
        <w:rPr>
          <w:rFonts w:ascii="Arial" w:eastAsia="Arial" w:hAnsi="Arial" w:cs="Arial"/>
          <w:i/>
          <w:lang w:eastAsia="en-GB"/>
        </w:rPr>
        <w:tab/>
        <w:t xml:space="preserve"> </w:t>
      </w:r>
      <w:r w:rsidRPr="001A4317">
        <w:rPr>
          <w:rFonts w:ascii="Arial" w:eastAsia="Arial" w:hAnsi="Arial" w:cs="Arial"/>
          <w:i/>
          <w:lang w:eastAsia="en-GB"/>
        </w:rPr>
        <w:tab/>
        <w:t xml:space="preserve"> </w:t>
      </w:r>
      <w:r w:rsidRPr="001A4317">
        <w:rPr>
          <w:rFonts w:ascii="Arial" w:eastAsia="Arial" w:hAnsi="Arial" w:cs="Arial"/>
          <w:i/>
          <w:lang w:eastAsia="en-GB"/>
        </w:rPr>
        <w:tab/>
        <w:t xml:space="preserve"> </w:t>
      </w:r>
      <w:r w:rsidRPr="001A4317">
        <w:rPr>
          <w:rFonts w:ascii="Arial" w:eastAsia="Arial" w:hAnsi="Arial" w:cs="Arial"/>
          <w:b/>
          <w:i/>
          <w:lang w:eastAsia="en-GB"/>
        </w:rPr>
        <w:t>[ 2 ]</w:t>
      </w:r>
      <w:r w:rsidRPr="001A4317">
        <w:rPr>
          <w:rFonts w:ascii="Arial" w:eastAsia="Arial" w:hAnsi="Arial" w:cs="Arial"/>
          <w:i/>
          <w:lang w:eastAsia="en-GB"/>
        </w:rPr>
        <w:t xml:space="preserve"> </w:t>
      </w:r>
    </w:p>
    <w:p w14:paraId="4FA4144B" w14:textId="3FEEECC8" w:rsidR="001A4317" w:rsidRPr="001A4317" w:rsidRDefault="001A4317" w:rsidP="001A4317">
      <w:pPr>
        <w:spacing w:after="0"/>
        <w:rPr>
          <w:rFonts w:ascii="Arial" w:eastAsia="Calibri" w:hAnsi="Arial" w:cs="Arial"/>
          <w:lang w:eastAsia="en-GB"/>
        </w:rPr>
      </w:pPr>
    </w:p>
    <w:tbl>
      <w:tblPr>
        <w:tblStyle w:val="TableGrid"/>
        <w:tblW w:w="9621" w:type="dxa"/>
        <w:tblInd w:w="-108" w:type="dxa"/>
        <w:tblCellMar>
          <w:top w:w="5" w:type="dxa"/>
          <w:bottom w:w="151" w:type="dxa"/>
          <w:right w:w="19" w:type="dxa"/>
        </w:tblCellMar>
        <w:tblLook w:val="04A0" w:firstRow="1" w:lastRow="0" w:firstColumn="1" w:lastColumn="0" w:noHBand="0" w:noVBand="1"/>
      </w:tblPr>
      <w:tblGrid>
        <w:gridCol w:w="9424"/>
        <w:gridCol w:w="197"/>
      </w:tblGrid>
      <w:tr w:rsidR="001A4317" w:rsidRPr="001A4317" w14:paraId="064FEE39" w14:textId="77777777" w:rsidTr="003B042C">
        <w:trPr>
          <w:trHeight w:val="1421"/>
        </w:trPr>
        <w:tc>
          <w:tcPr>
            <w:tcW w:w="9424" w:type="dxa"/>
            <w:tcBorders>
              <w:top w:val="single" w:sz="4" w:space="0" w:color="000000"/>
              <w:left w:val="single" w:sz="4" w:space="0" w:color="000000"/>
              <w:bottom w:val="single" w:sz="4" w:space="0" w:color="000000"/>
              <w:right w:val="nil"/>
            </w:tcBorders>
          </w:tcPr>
          <w:p w14:paraId="64AB6B0B" w14:textId="77777777" w:rsidR="001A4317" w:rsidRPr="001A4317" w:rsidRDefault="001A4317" w:rsidP="001A4317">
            <w:pPr>
              <w:keepNext/>
              <w:keepLines/>
              <w:spacing w:before="40"/>
              <w:outlineLvl w:val="4"/>
              <w:rPr>
                <w:rFonts w:ascii="Arial" w:eastAsia="Calibri" w:hAnsi="Arial" w:cs="Arial"/>
                <w:color w:val="2F5496" w:themeColor="accent1" w:themeShade="BF"/>
              </w:rPr>
            </w:pPr>
            <w:r w:rsidRPr="001A4317">
              <w:rPr>
                <w:rFonts w:ascii="Arial" w:eastAsia="Arial" w:hAnsi="Arial" w:cs="Arial"/>
                <w:color w:val="2F5496" w:themeColor="accent1" w:themeShade="BF"/>
              </w:rPr>
              <w:t xml:space="preserve">Consequential help </w:t>
            </w:r>
          </w:p>
          <w:p w14:paraId="1F36711F" w14:textId="77777777" w:rsidR="001A4317" w:rsidRPr="001A4317" w:rsidRDefault="001A4317" w:rsidP="001A4317">
            <w:pPr>
              <w:spacing w:after="202" w:line="276" w:lineRule="auto"/>
              <w:ind w:left="108"/>
              <w:rPr>
                <w:rFonts w:ascii="Arial" w:eastAsia="Calibri" w:hAnsi="Arial" w:cs="Arial"/>
              </w:rPr>
            </w:pPr>
            <w:r w:rsidRPr="001A4317">
              <w:rPr>
                <w:rFonts w:ascii="Arial" w:eastAsia="Arial" w:hAnsi="Arial" w:cs="Arial"/>
              </w:rPr>
              <w:t xml:space="preserve">When writing case-based questions avoid providing information in the latter part of the case that can be used to answer earlier questions. For </w:t>
            </w:r>
            <w:proofErr w:type="gramStart"/>
            <w:r w:rsidRPr="001A4317">
              <w:rPr>
                <w:rFonts w:ascii="Arial" w:eastAsia="Arial" w:hAnsi="Arial" w:cs="Arial"/>
              </w:rPr>
              <w:t>example</w:t>
            </w:r>
            <w:proofErr w:type="gramEnd"/>
            <w:r w:rsidRPr="001A4317">
              <w:rPr>
                <w:rFonts w:ascii="Arial" w:eastAsia="Arial" w:hAnsi="Arial" w:cs="Arial"/>
              </w:rPr>
              <w:t xml:space="preserve"> a latter section of the case should not state a specific diagnosis that is the answer to an earlier question.   </w:t>
            </w:r>
          </w:p>
        </w:tc>
        <w:tc>
          <w:tcPr>
            <w:tcW w:w="197" w:type="dxa"/>
            <w:tcBorders>
              <w:top w:val="single" w:sz="4" w:space="0" w:color="000000"/>
              <w:left w:val="nil"/>
              <w:bottom w:val="single" w:sz="4" w:space="0" w:color="000000"/>
              <w:right w:val="single" w:sz="4" w:space="0" w:color="000000"/>
            </w:tcBorders>
            <w:vAlign w:val="bottom"/>
          </w:tcPr>
          <w:p w14:paraId="069E69DD" w14:textId="77777777" w:rsidR="001A4317" w:rsidRPr="001A4317" w:rsidRDefault="001A4317" w:rsidP="001A4317">
            <w:pPr>
              <w:jc w:val="both"/>
              <w:rPr>
                <w:rFonts w:ascii="Arial" w:eastAsia="Calibri" w:hAnsi="Arial" w:cs="Arial"/>
              </w:rPr>
            </w:pPr>
          </w:p>
        </w:tc>
      </w:tr>
    </w:tbl>
    <w:p w14:paraId="4372B741" w14:textId="77777777" w:rsidR="001A4317" w:rsidRPr="001A4317" w:rsidRDefault="001A4317" w:rsidP="001A4317">
      <w:pPr>
        <w:rPr>
          <w:rFonts w:ascii="Arial" w:eastAsia="Arial" w:hAnsi="Arial" w:cs="Arial"/>
          <w:b/>
          <w:lang w:eastAsia="en-GB"/>
        </w:rPr>
      </w:pPr>
    </w:p>
    <w:p w14:paraId="22ED1B72" w14:textId="77777777" w:rsidR="001A4317" w:rsidRPr="001A4317" w:rsidRDefault="001A4317" w:rsidP="001A4317">
      <w:pPr>
        <w:keepNext/>
        <w:keepLines/>
        <w:spacing w:before="40" w:after="0"/>
        <w:outlineLvl w:val="1"/>
        <w:rPr>
          <w:rFonts w:ascii="Arial" w:eastAsia="Arial" w:hAnsi="Arial" w:cs="Arial"/>
          <w:color w:val="2F5496" w:themeColor="accent1" w:themeShade="BF"/>
          <w:sz w:val="26"/>
          <w:szCs w:val="26"/>
          <w:lang w:eastAsia="en-GB"/>
        </w:rPr>
      </w:pPr>
      <w:bookmarkStart w:id="16" w:name="_Toc5957134"/>
      <w:bookmarkStart w:id="17" w:name="_Toc6231407"/>
      <w:r w:rsidRPr="001A4317">
        <w:rPr>
          <w:rFonts w:ascii="Arial" w:eastAsia="Arial" w:hAnsi="Arial" w:cs="Arial"/>
          <w:color w:val="2F5496" w:themeColor="accent1" w:themeShade="BF"/>
          <w:sz w:val="26"/>
          <w:szCs w:val="26"/>
          <w:lang w:eastAsia="en-GB"/>
        </w:rPr>
        <w:t>Use of images in questions</w:t>
      </w:r>
      <w:bookmarkEnd w:id="16"/>
      <w:bookmarkEnd w:id="17"/>
      <w:r w:rsidRPr="001A4317">
        <w:rPr>
          <w:rFonts w:ascii="Arial" w:eastAsia="Arial" w:hAnsi="Arial" w:cs="Arial"/>
          <w:color w:val="2F5496" w:themeColor="accent1" w:themeShade="BF"/>
          <w:sz w:val="26"/>
          <w:szCs w:val="26"/>
          <w:lang w:eastAsia="en-GB"/>
        </w:rPr>
        <w:t xml:space="preserve"> </w:t>
      </w:r>
    </w:p>
    <w:p w14:paraId="7D42AE4A" w14:textId="77777777" w:rsidR="001A4317" w:rsidRPr="001A4317" w:rsidRDefault="001A4317" w:rsidP="001A4317">
      <w:pPr>
        <w:spacing w:after="0"/>
        <w:rPr>
          <w:rFonts w:ascii="Arial" w:eastAsia="Calibri" w:hAnsi="Arial" w:cs="Arial"/>
          <w:lang w:eastAsia="en-GB"/>
        </w:rPr>
      </w:pPr>
      <w:r w:rsidRPr="001A4317">
        <w:rPr>
          <w:rFonts w:ascii="Arial" w:eastAsia="Arial" w:hAnsi="Arial" w:cs="Arial"/>
          <w:lang w:eastAsia="en-GB"/>
        </w:rPr>
        <w:t xml:space="preserve">Using on-line </w:t>
      </w:r>
      <w:proofErr w:type="gramStart"/>
      <w:r w:rsidRPr="001A4317">
        <w:rPr>
          <w:rFonts w:ascii="Arial" w:eastAsia="Arial" w:hAnsi="Arial" w:cs="Arial"/>
          <w:lang w:eastAsia="en-GB"/>
        </w:rPr>
        <w:t>assessments</w:t>
      </w:r>
      <w:proofErr w:type="gramEnd"/>
      <w:r w:rsidRPr="001A4317">
        <w:rPr>
          <w:rFonts w:ascii="Arial" w:eastAsia="Arial" w:hAnsi="Arial" w:cs="Arial"/>
          <w:lang w:eastAsia="en-GB"/>
        </w:rPr>
        <w:t xml:space="preserve"> it is possible to use a variety of images such as x-rays, photographs and diagrams as items in questions. These can be used as contexts for questions or they can form the basis of identification or diagnostic questions.  Alternatively images can appear in Extended Matching questions as shown in the example below. Here the use of ‘Image Hotspots’ is demonstrated where a specific area of the image is the focus of the question. When submitting questions that use image hotspots it will be necessary to outline the area or areas of the image that are </w:t>
      </w:r>
      <w:r w:rsidRPr="001A4317">
        <w:rPr>
          <w:rFonts w:ascii="Arial" w:eastAsia="Arial" w:hAnsi="Arial" w:cs="Arial"/>
          <w:lang w:eastAsia="en-GB"/>
        </w:rPr>
        <w:lastRenderedPageBreak/>
        <w:t xml:space="preserve">the focus of questions and to communicate this information to the question programmer. </w:t>
      </w:r>
      <w:r w:rsidRPr="001A4317">
        <w:rPr>
          <w:rFonts w:ascii="Arial" w:eastAsia="Calibri" w:hAnsi="Arial" w:cs="Arial"/>
          <w:noProof/>
        </w:rPr>
        <w:drawing>
          <wp:inline distT="0" distB="0" distL="0" distR="0" wp14:anchorId="2EC3CD27" wp14:editId="28A21581">
            <wp:extent cx="3776345" cy="24720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4110" name="Picture 4110"/>
                    <pic:cNvPicPr/>
                  </pic:nvPicPr>
                  <pic:blipFill>
                    <a:blip r:embed="rId8"/>
                    <a:stretch>
                      <a:fillRect/>
                    </a:stretch>
                  </pic:blipFill>
                  <pic:spPr>
                    <a:xfrm>
                      <a:off x="0" y="0"/>
                      <a:ext cx="3776345" cy="2472055"/>
                    </a:xfrm>
                    <a:prstGeom prst="rect">
                      <a:avLst/>
                    </a:prstGeom>
                  </pic:spPr>
                </pic:pic>
              </a:graphicData>
            </a:graphic>
          </wp:inline>
        </w:drawing>
      </w:r>
    </w:p>
    <w:p w14:paraId="022550D6" w14:textId="77777777" w:rsidR="001A4317" w:rsidRPr="001A4317" w:rsidRDefault="001A4317" w:rsidP="001A4317">
      <w:pPr>
        <w:spacing w:after="218"/>
        <w:rPr>
          <w:rFonts w:ascii="Arial" w:eastAsia="Calibri" w:hAnsi="Arial" w:cs="Arial"/>
          <w:lang w:eastAsia="en-GB"/>
        </w:rPr>
      </w:pPr>
      <w:r w:rsidRPr="001A4317">
        <w:rPr>
          <w:rFonts w:ascii="Arial" w:eastAsia="Arial" w:hAnsi="Arial" w:cs="Arial"/>
          <w:lang w:eastAsia="en-GB"/>
        </w:rPr>
        <w:t xml:space="preserve">  </w:t>
      </w:r>
    </w:p>
    <w:p w14:paraId="6C9AD045" w14:textId="77777777" w:rsidR="001A4317" w:rsidRPr="001A4317" w:rsidRDefault="001A4317" w:rsidP="001A4317">
      <w:pPr>
        <w:keepNext/>
        <w:keepLines/>
        <w:spacing w:before="40" w:after="0"/>
        <w:outlineLvl w:val="1"/>
        <w:rPr>
          <w:rFonts w:ascii="Arial" w:eastAsia="Arial" w:hAnsi="Arial" w:cs="Arial"/>
          <w:color w:val="2F5496" w:themeColor="accent1" w:themeShade="BF"/>
          <w:sz w:val="26"/>
          <w:szCs w:val="26"/>
          <w:lang w:eastAsia="en-GB"/>
        </w:rPr>
      </w:pPr>
      <w:bookmarkStart w:id="18" w:name="_Toc5957135"/>
      <w:bookmarkStart w:id="19" w:name="_Toc6231408"/>
      <w:r w:rsidRPr="001A4317">
        <w:rPr>
          <w:rFonts w:ascii="Arial" w:eastAsia="Arial" w:hAnsi="Arial" w:cs="Arial"/>
          <w:color w:val="2F5496" w:themeColor="accent1" w:themeShade="BF"/>
          <w:sz w:val="26"/>
          <w:szCs w:val="26"/>
          <w:lang w:eastAsia="en-GB"/>
        </w:rPr>
        <w:t>Reference:</w:t>
      </w:r>
      <w:bookmarkEnd w:id="18"/>
      <w:bookmarkEnd w:id="19"/>
    </w:p>
    <w:p w14:paraId="0A34DF8F" w14:textId="77777777" w:rsidR="001A4317" w:rsidRPr="001A4317" w:rsidRDefault="001A4317" w:rsidP="001A4317">
      <w:pPr>
        <w:spacing w:after="216"/>
        <w:rPr>
          <w:rFonts w:ascii="Arial" w:eastAsia="Calibri" w:hAnsi="Arial" w:cs="Arial"/>
          <w:lang w:eastAsia="en-GB"/>
        </w:rPr>
      </w:pPr>
      <w:r w:rsidRPr="001A4317">
        <w:rPr>
          <w:rFonts w:ascii="Arial" w:eastAsia="Arial" w:hAnsi="Arial" w:cs="Arial"/>
          <w:b/>
          <w:lang w:eastAsia="en-GB"/>
        </w:rPr>
        <w:t xml:space="preserve">Constructing written test questions for the basic and clinical sciences. </w:t>
      </w:r>
      <w:r w:rsidRPr="001A4317">
        <w:rPr>
          <w:rFonts w:ascii="Arial" w:eastAsia="Arial" w:hAnsi="Arial" w:cs="Arial"/>
          <w:lang w:eastAsia="en-GB"/>
        </w:rPr>
        <w:t>Case &amp; Swanson (2001)</w:t>
      </w:r>
      <w:r w:rsidRPr="001A4317">
        <w:rPr>
          <w:rFonts w:ascii="Arial" w:eastAsia="Arial" w:hAnsi="Arial" w:cs="Arial"/>
          <w:b/>
          <w:lang w:eastAsia="en-GB"/>
        </w:rPr>
        <w:t xml:space="preserve"> </w:t>
      </w:r>
    </w:p>
    <w:p w14:paraId="29711823" w14:textId="77777777" w:rsidR="001A4317" w:rsidRPr="001A4317" w:rsidRDefault="001A4317" w:rsidP="001A4317">
      <w:pPr>
        <w:spacing w:after="1166"/>
        <w:rPr>
          <w:rFonts w:ascii="Arial" w:eastAsia="Calibri" w:hAnsi="Arial" w:cs="Arial"/>
          <w:lang w:eastAsia="en-GB"/>
        </w:rPr>
      </w:pPr>
      <w:r w:rsidRPr="001A4317">
        <w:rPr>
          <w:rFonts w:ascii="Arial" w:eastAsia="Arial" w:hAnsi="Arial" w:cs="Arial"/>
          <w:lang w:eastAsia="en-GB"/>
        </w:rPr>
        <w:t xml:space="preserve">Download free of charge as a PDF file from: </w:t>
      </w:r>
      <w:hyperlink r:id="rId9" w:history="1">
        <w:r w:rsidRPr="001A4317">
          <w:rPr>
            <w:rFonts w:ascii="Arial" w:hAnsi="Arial" w:cs="Arial"/>
            <w:u w:val="single"/>
          </w:rPr>
          <w:t>https://www.nbme.org/pdf/itemwriting_2003/2003iwgwhole.pdf</w:t>
        </w:r>
      </w:hyperlink>
    </w:p>
    <w:p w14:paraId="72B7D07A" w14:textId="77777777" w:rsidR="001A4317" w:rsidRPr="001A4317" w:rsidRDefault="001A4317" w:rsidP="001A4317">
      <w:pPr>
        <w:rPr>
          <w:rFonts w:ascii="Arial" w:eastAsia="Arial" w:hAnsi="Arial" w:cs="Arial"/>
          <w:lang w:eastAsia="en-GB"/>
        </w:rPr>
      </w:pPr>
    </w:p>
    <w:p w14:paraId="10C5C964" w14:textId="114F1D07" w:rsidR="001A4317" w:rsidRPr="001A4317" w:rsidRDefault="001A4317" w:rsidP="001A4317">
      <w:pPr>
        <w:rPr>
          <w:rFonts w:ascii="Arial" w:eastAsia="Arial" w:hAnsi="Arial" w:cs="Arial"/>
          <w:sz w:val="28"/>
          <w:szCs w:val="22"/>
          <w:lang w:eastAsia="en-GB"/>
        </w:rPr>
      </w:pPr>
    </w:p>
    <w:sectPr w:rsidR="001A4317" w:rsidRPr="001A4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F62D7"/>
    <w:multiLevelType w:val="hybridMultilevel"/>
    <w:tmpl w:val="22186C5C"/>
    <w:lvl w:ilvl="0" w:tplc="0809000F">
      <w:start w:val="1"/>
      <w:numFmt w:val="decimal"/>
      <w:lvlText w:val="%1."/>
      <w:lvlJc w:val="left"/>
      <w:pPr>
        <w:ind w:left="965"/>
      </w:pPr>
      <w:rPr>
        <w:b w:val="0"/>
        <w:i w:val="0"/>
        <w:strike w:val="0"/>
        <w:dstrike w:val="0"/>
        <w:color w:val="5F5F5F"/>
        <w:sz w:val="20"/>
        <w:szCs w:val="20"/>
        <w:u w:val="none" w:color="000000"/>
        <w:bdr w:val="none" w:sz="0" w:space="0" w:color="auto"/>
        <w:shd w:val="clear" w:color="auto" w:fill="auto"/>
        <w:vertAlign w:val="baseline"/>
      </w:rPr>
    </w:lvl>
    <w:lvl w:ilvl="1" w:tplc="E730AD46">
      <w:start w:val="1"/>
      <w:numFmt w:val="lowerLetter"/>
      <w:lvlText w:val="%2"/>
      <w:lvlJc w:val="left"/>
      <w:pPr>
        <w:ind w:left="1592"/>
      </w:pPr>
      <w:rPr>
        <w:rFonts w:ascii="Arial" w:eastAsia="Arial" w:hAnsi="Arial" w:cs="Arial"/>
        <w:b w:val="0"/>
        <w:i w:val="0"/>
        <w:strike w:val="0"/>
        <w:dstrike w:val="0"/>
        <w:color w:val="5F5F5F"/>
        <w:sz w:val="20"/>
        <w:szCs w:val="20"/>
        <w:u w:val="none" w:color="000000"/>
        <w:bdr w:val="none" w:sz="0" w:space="0" w:color="auto"/>
        <w:shd w:val="clear" w:color="auto" w:fill="auto"/>
        <w:vertAlign w:val="baseline"/>
      </w:rPr>
    </w:lvl>
    <w:lvl w:ilvl="2" w:tplc="FC00405E">
      <w:start w:val="1"/>
      <w:numFmt w:val="lowerRoman"/>
      <w:lvlText w:val="%3"/>
      <w:lvlJc w:val="left"/>
      <w:pPr>
        <w:ind w:left="2312"/>
      </w:pPr>
      <w:rPr>
        <w:rFonts w:ascii="Arial" w:eastAsia="Arial" w:hAnsi="Arial" w:cs="Arial"/>
        <w:b w:val="0"/>
        <w:i w:val="0"/>
        <w:strike w:val="0"/>
        <w:dstrike w:val="0"/>
        <w:color w:val="5F5F5F"/>
        <w:sz w:val="20"/>
        <w:szCs w:val="20"/>
        <w:u w:val="none" w:color="000000"/>
        <w:bdr w:val="none" w:sz="0" w:space="0" w:color="auto"/>
        <w:shd w:val="clear" w:color="auto" w:fill="auto"/>
        <w:vertAlign w:val="baseline"/>
      </w:rPr>
    </w:lvl>
    <w:lvl w:ilvl="3" w:tplc="DA966430">
      <w:start w:val="1"/>
      <w:numFmt w:val="decimal"/>
      <w:lvlText w:val="%4"/>
      <w:lvlJc w:val="left"/>
      <w:pPr>
        <w:ind w:left="3032"/>
      </w:pPr>
      <w:rPr>
        <w:rFonts w:ascii="Arial" w:eastAsia="Arial" w:hAnsi="Arial" w:cs="Arial"/>
        <w:b w:val="0"/>
        <w:i w:val="0"/>
        <w:strike w:val="0"/>
        <w:dstrike w:val="0"/>
        <w:color w:val="5F5F5F"/>
        <w:sz w:val="20"/>
        <w:szCs w:val="20"/>
        <w:u w:val="none" w:color="000000"/>
        <w:bdr w:val="none" w:sz="0" w:space="0" w:color="auto"/>
        <w:shd w:val="clear" w:color="auto" w:fill="auto"/>
        <w:vertAlign w:val="baseline"/>
      </w:rPr>
    </w:lvl>
    <w:lvl w:ilvl="4" w:tplc="ECD2F5F6">
      <w:start w:val="1"/>
      <w:numFmt w:val="lowerLetter"/>
      <w:lvlText w:val="%5"/>
      <w:lvlJc w:val="left"/>
      <w:pPr>
        <w:ind w:left="3752"/>
      </w:pPr>
      <w:rPr>
        <w:rFonts w:ascii="Arial" w:eastAsia="Arial" w:hAnsi="Arial" w:cs="Arial"/>
        <w:b w:val="0"/>
        <w:i w:val="0"/>
        <w:strike w:val="0"/>
        <w:dstrike w:val="0"/>
        <w:color w:val="5F5F5F"/>
        <w:sz w:val="20"/>
        <w:szCs w:val="20"/>
        <w:u w:val="none" w:color="000000"/>
        <w:bdr w:val="none" w:sz="0" w:space="0" w:color="auto"/>
        <w:shd w:val="clear" w:color="auto" w:fill="auto"/>
        <w:vertAlign w:val="baseline"/>
      </w:rPr>
    </w:lvl>
    <w:lvl w:ilvl="5" w:tplc="A5D0A42C">
      <w:start w:val="1"/>
      <w:numFmt w:val="lowerRoman"/>
      <w:lvlText w:val="%6"/>
      <w:lvlJc w:val="left"/>
      <w:pPr>
        <w:ind w:left="4472"/>
      </w:pPr>
      <w:rPr>
        <w:rFonts w:ascii="Arial" w:eastAsia="Arial" w:hAnsi="Arial" w:cs="Arial"/>
        <w:b w:val="0"/>
        <w:i w:val="0"/>
        <w:strike w:val="0"/>
        <w:dstrike w:val="0"/>
        <w:color w:val="5F5F5F"/>
        <w:sz w:val="20"/>
        <w:szCs w:val="20"/>
        <w:u w:val="none" w:color="000000"/>
        <w:bdr w:val="none" w:sz="0" w:space="0" w:color="auto"/>
        <w:shd w:val="clear" w:color="auto" w:fill="auto"/>
        <w:vertAlign w:val="baseline"/>
      </w:rPr>
    </w:lvl>
    <w:lvl w:ilvl="6" w:tplc="A4443952">
      <w:start w:val="1"/>
      <w:numFmt w:val="decimal"/>
      <w:lvlText w:val="%7"/>
      <w:lvlJc w:val="left"/>
      <w:pPr>
        <w:ind w:left="5192"/>
      </w:pPr>
      <w:rPr>
        <w:rFonts w:ascii="Arial" w:eastAsia="Arial" w:hAnsi="Arial" w:cs="Arial"/>
        <w:b w:val="0"/>
        <w:i w:val="0"/>
        <w:strike w:val="0"/>
        <w:dstrike w:val="0"/>
        <w:color w:val="5F5F5F"/>
        <w:sz w:val="20"/>
        <w:szCs w:val="20"/>
        <w:u w:val="none" w:color="000000"/>
        <w:bdr w:val="none" w:sz="0" w:space="0" w:color="auto"/>
        <w:shd w:val="clear" w:color="auto" w:fill="auto"/>
        <w:vertAlign w:val="baseline"/>
      </w:rPr>
    </w:lvl>
    <w:lvl w:ilvl="7" w:tplc="7BDC44BA">
      <w:start w:val="1"/>
      <w:numFmt w:val="lowerLetter"/>
      <w:lvlText w:val="%8"/>
      <w:lvlJc w:val="left"/>
      <w:pPr>
        <w:ind w:left="5912"/>
      </w:pPr>
      <w:rPr>
        <w:rFonts w:ascii="Arial" w:eastAsia="Arial" w:hAnsi="Arial" w:cs="Arial"/>
        <w:b w:val="0"/>
        <w:i w:val="0"/>
        <w:strike w:val="0"/>
        <w:dstrike w:val="0"/>
        <w:color w:val="5F5F5F"/>
        <w:sz w:val="20"/>
        <w:szCs w:val="20"/>
        <w:u w:val="none" w:color="000000"/>
        <w:bdr w:val="none" w:sz="0" w:space="0" w:color="auto"/>
        <w:shd w:val="clear" w:color="auto" w:fill="auto"/>
        <w:vertAlign w:val="baseline"/>
      </w:rPr>
    </w:lvl>
    <w:lvl w:ilvl="8" w:tplc="006A1A1C">
      <w:start w:val="1"/>
      <w:numFmt w:val="lowerRoman"/>
      <w:lvlText w:val="%9"/>
      <w:lvlJc w:val="left"/>
      <w:pPr>
        <w:ind w:left="6632"/>
      </w:pPr>
      <w:rPr>
        <w:rFonts w:ascii="Arial" w:eastAsia="Arial" w:hAnsi="Arial" w:cs="Arial"/>
        <w:b w:val="0"/>
        <w:i w:val="0"/>
        <w:strike w:val="0"/>
        <w:dstrike w:val="0"/>
        <w:color w:val="5F5F5F"/>
        <w:sz w:val="20"/>
        <w:szCs w:val="20"/>
        <w:u w:val="none" w:color="000000"/>
        <w:bdr w:val="none" w:sz="0" w:space="0" w:color="auto"/>
        <w:shd w:val="clear" w:color="auto" w:fill="auto"/>
        <w:vertAlign w:val="baseline"/>
      </w:rPr>
    </w:lvl>
  </w:abstractNum>
  <w:abstractNum w:abstractNumId="1" w15:restartNumberingAfterBreak="0">
    <w:nsid w:val="2EE82D02"/>
    <w:multiLevelType w:val="hybridMultilevel"/>
    <w:tmpl w:val="E272C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0E45E0"/>
    <w:multiLevelType w:val="hybridMultilevel"/>
    <w:tmpl w:val="DD7C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103AD"/>
    <w:multiLevelType w:val="hybridMultilevel"/>
    <w:tmpl w:val="555A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467A5"/>
    <w:multiLevelType w:val="hybridMultilevel"/>
    <w:tmpl w:val="BF40A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386898">
    <w:abstractNumId w:val="4"/>
  </w:num>
  <w:num w:numId="2" w16cid:durableId="351036272">
    <w:abstractNumId w:val="0"/>
  </w:num>
  <w:num w:numId="3" w16cid:durableId="1151411076">
    <w:abstractNumId w:val="2"/>
  </w:num>
  <w:num w:numId="4" w16cid:durableId="988484758">
    <w:abstractNumId w:val="3"/>
  </w:num>
  <w:num w:numId="5" w16cid:durableId="47371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17"/>
    <w:rsid w:val="001A4317"/>
    <w:rsid w:val="004A73DB"/>
    <w:rsid w:val="00810CFF"/>
    <w:rsid w:val="00FE19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01040"/>
  <w15:chartTrackingRefBased/>
  <w15:docId w15:val="{B2B7C709-81C8-49FE-8FD5-8AD7B2B9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aj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A4317"/>
    <w:pPr>
      <w:spacing w:after="0" w:line="240" w:lineRule="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styleId="TableGrid0">
    <w:name w:val="Table Grid"/>
    <w:basedOn w:val="TableNormal"/>
    <w:uiPriority w:val="39"/>
    <w:rsid w:val="001A431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bme.org/pdf/itemwriting_2003/2003iwgwh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20B94E8ED424196CCE74BBEF9FD65" ma:contentTypeVersion="7" ma:contentTypeDescription="Create a new document." ma:contentTypeScope="" ma:versionID="0648226274e0143f4bd1283f0156bbba">
  <xsd:schema xmlns:xsd="http://www.w3.org/2001/XMLSchema" xmlns:xs="http://www.w3.org/2001/XMLSchema" xmlns:p="http://schemas.microsoft.com/office/2006/metadata/properties" xmlns:ns2="2551370e-7927-44a1-b8bf-4b895b723db8" targetNamespace="http://schemas.microsoft.com/office/2006/metadata/properties" ma:root="true" ma:fieldsID="7434fa207069c09b8ba3dc95bd4bc956" ns2:_="">
    <xsd:import namespace="2551370e-7927-44a1-b8bf-4b895b723d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1370e-7927-44a1-b8bf-4b895b723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C7090-05D0-4A21-93A9-F81A4615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1370e-7927-44a1-b8bf-4b895b723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B0764-A5AD-43F3-B1EE-979A5753A4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CA9899-D481-450F-A3E9-118DF5AC4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8382</Characters>
  <Application>Microsoft Office Word</Application>
  <DocSecurity>0</DocSecurity>
  <Lines>199</Lines>
  <Paragraphs>109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Haines</dc:creator>
  <cp:keywords/>
  <dc:description/>
  <cp:lastModifiedBy>Yahui Henguely</cp:lastModifiedBy>
  <cp:revision>2</cp:revision>
  <dcterms:created xsi:type="dcterms:W3CDTF">2024-09-20T09:41:00Z</dcterms:created>
  <dcterms:modified xsi:type="dcterms:W3CDTF">2024-09-20T09:41:00Z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0x010100E8420B94E8ED424196CCE74BBEF9FD65</vt:lpwstr>
  </property>
  <property fmtid="{D5CDD505-2E9C-101B-9397-08002B2CF9AE}" pid="3" name="GrammarlyDocumentId">
    <vt:lpwstr>4b580e688c46d4d9bd19cf2bb75a31ef2ef1a90251429e777d6c3141bce0046e</vt:lpwstr>
  </property>
</Properties>
</file>